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7083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005" cy="675005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DE6B51" w:rsidRPr="00DE6B51" w:rsidRDefault="00DE6B51" w:rsidP="00DE6B51">
      <w:pPr>
        <w:spacing w:line="360" w:lineRule="auto"/>
        <w:contextualSpacing/>
        <w:jc w:val="center"/>
        <w:rPr>
          <w:rFonts w:eastAsia="Calibri"/>
          <w:b/>
          <w:smallCaps/>
          <w:lang w:eastAsia="en-US"/>
        </w:rPr>
      </w:pPr>
      <w:r w:rsidRPr="00DE6B51">
        <w:rPr>
          <w:rFonts w:eastAsia="Calibri"/>
          <w:b/>
          <w:smallCaps/>
          <w:lang w:eastAsia="en-US"/>
        </w:rPr>
        <w:t xml:space="preserve">О внесении изменений в Закон Республики Саха (Якутия) </w:t>
      </w:r>
    </w:p>
    <w:p w:rsidR="00DE6B51" w:rsidRPr="00DE6B51" w:rsidRDefault="00DE6B51" w:rsidP="00DE6B51">
      <w:pPr>
        <w:spacing w:line="360" w:lineRule="auto"/>
        <w:contextualSpacing/>
        <w:jc w:val="center"/>
        <w:rPr>
          <w:rFonts w:eastAsia="Calibri"/>
          <w:b/>
          <w:smallCaps/>
          <w:lang w:eastAsia="en-US"/>
        </w:rPr>
      </w:pPr>
      <w:r w:rsidRPr="00DE6B51">
        <w:rPr>
          <w:rFonts w:eastAsia="Calibri"/>
          <w:b/>
          <w:smallCaps/>
          <w:lang w:eastAsia="en-US"/>
        </w:rPr>
        <w:t>«О комиссиях по делам несовершеннолетних и защите их прав»</w:t>
      </w:r>
    </w:p>
    <w:p w:rsidR="00DE6B51" w:rsidRPr="00DE6B51" w:rsidRDefault="00DE6B51" w:rsidP="00DE6B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DE6B51" w:rsidRPr="00DE6B51" w:rsidRDefault="00DE6B51" w:rsidP="00DE6B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</w:p>
    <w:p w:rsidR="00DE6B51" w:rsidRPr="00DE6B51" w:rsidRDefault="00DE6B51" w:rsidP="00DE6B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i/>
          <w:lang w:eastAsia="en-US"/>
        </w:rPr>
      </w:pPr>
      <w:r w:rsidRPr="00DE6B51">
        <w:rPr>
          <w:rFonts w:eastAsia="Calibri"/>
          <w:b/>
          <w:i/>
          <w:lang w:eastAsia="en-US"/>
        </w:rPr>
        <w:t>Статья 1</w:t>
      </w:r>
    </w:p>
    <w:p w:rsidR="00DE6B51" w:rsidRPr="00DE6B51" w:rsidRDefault="00DE6B51" w:rsidP="00DE6B51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E6B51">
        <w:t>Внести в Закон Республики Саха (Якутия) от 25 апреля 2006 года 339-З № 695-</w:t>
      </w:r>
      <w:r w:rsidRPr="00DE6B51">
        <w:rPr>
          <w:lang w:val="en-US"/>
        </w:rPr>
        <w:t>I</w:t>
      </w:r>
      <w:r w:rsidRPr="00DE6B51">
        <w:t xml:space="preserve">II </w:t>
      </w:r>
      <w:r w:rsidRPr="00DE6B51">
        <w:br/>
        <w:t>«О комиссиях по делам несовершеннолетних и защите их прав» следующие изменения:</w:t>
      </w:r>
    </w:p>
    <w:p w:rsidR="00DE6B51" w:rsidRPr="00DE6B51" w:rsidRDefault="00DE6B51" w:rsidP="00DE6B51">
      <w:pPr>
        <w:tabs>
          <w:tab w:val="left" w:pos="567"/>
        </w:tabs>
        <w:spacing w:line="360" w:lineRule="auto"/>
        <w:ind w:firstLine="709"/>
        <w:jc w:val="both"/>
      </w:pPr>
      <w:r w:rsidRPr="00DE6B51">
        <w:t>1) абзац первый части 1 статьи 6 изложить в следующей редакции:</w:t>
      </w:r>
    </w:p>
    <w:p w:rsidR="00DE6B51" w:rsidRPr="00DE6B51" w:rsidRDefault="00DE6B51" w:rsidP="00DE6B51">
      <w:pPr>
        <w:spacing w:line="360" w:lineRule="auto"/>
        <w:ind w:firstLine="709"/>
        <w:jc w:val="both"/>
      </w:pPr>
      <w:r w:rsidRPr="00DE6B51">
        <w:t xml:space="preserve">«Республиканская комиссия является коллегиальным органом системы профилактики безнадзорности и правонарушений несовершеннолетних, образованным Правительством Республики Саха (Якутия) в целях координации деятельности органов </w:t>
      </w:r>
      <w:r w:rsidRPr="00DE6B51">
        <w:br/>
        <w:t xml:space="preserve">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</w:t>
      </w:r>
      <w:r w:rsidRPr="00DE6B51">
        <w:rPr>
          <w:bCs/>
        </w:rPr>
        <w:t>преступлений, других противоправных и (или) антиобщественных действий, а также случаев склонения их к суицидальным действиям.</w:t>
      </w:r>
      <w:r w:rsidRPr="00DE6B51">
        <w:t>»;</w:t>
      </w:r>
    </w:p>
    <w:p w:rsidR="00DE6B51" w:rsidRPr="00DE6B51" w:rsidRDefault="00DE6B51" w:rsidP="00DE6B51">
      <w:pPr>
        <w:tabs>
          <w:tab w:val="left" w:pos="851"/>
        </w:tabs>
        <w:spacing w:line="360" w:lineRule="auto"/>
        <w:ind w:firstLine="709"/>
        <w:jc w:val="both"/>
      </w:pPr>
      <w:r w:rsidRPr="00DE6B51">
        <w:t>2) абзац второй части 1 статьи 7 изложить в следующей редакции:</w:t>
      </w:r>
    </w:p>
    <w:p w:rsidR="00DE6B51" w:rsidRPr="00DE6B51" w:rsidRDefault="00DE6B51" w:rsidP="00DE6B51">
      <w:pPr>
        <w:spacing w:line="360" w:lineRule="auto"/>
        <w:ind w:firstLine="709"/>
        <w:jc w:val="both"/>
      </w:pPr>
      <w:r w:rsidRPr="00DE6B51">
        <w:t xml:space="preserve">«Улусная (районная, городская) комиссия является межведомственным коллегиальным органом системы профилактики, координирующим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</w:t>
      </w:r>
      <w:r w:rsidRPr="00DE6B51">
        <w:rPr>
          <w:bCs/>
        </w:rPr>
        <w:t>преступлений, других противоправных и (или) антиобщественных действий, а также случаев склонения их к суицидальным действиям.</w:t>
      </w:r>
      <w:r w:rsidRPr="00DE6B51">
        <w:t>»;</w:t>
      </w:r>
    </w:p>
    <w:p w:rsidR="00DE6B51" w:rsidRPr="00DE6B51" w:rsidRDefault="00DE6B51" w:rsidP="00DE6B51">
      <w:pPr>
        <w:tabs>
          <w:tab w:val="left" w:pos="851"/>
        </w:tabs>
        <w:spacing w:line="360" w:lineRule="auto"/>
        <w:ind w:firstLine="709"/>
        <w:jc w:val="both"/>
      </w:pPr>
      <w:r w:rsidRPr="00DE6B51">
        <w:lastRenderedPageBreak/>
        <w:t>3) часть 1 статьи 8 дополнить абзацем следующего содержания:</w:t>
      </w:r>
    </w:p>
    <w:p w:rsidR="00DE6B51" w:rsidRPr="00DE6B51" w:rsidRDefault="00DE6B51" w:rsidP="00DE6B51">
      <w:pPr>
        <w:spacing w:line="360" w:lineRule="auto"/>
        <w:ind w:firstLine="709"/>
        <w:jc w:val="both"/>
      </w:pPr>
      <w:r w:rsidRPr="00DE6B51">
        <w:t>«Органы местного самоуправления, на которые в соответствии с законодательством Республики Саха (Якутия) возложены полномочия по образованию улусных (районных, городских) комиссий, могут образовать отделы или другие структурные подразделения в составе органов местного самоуправления.»;</w:t>
      </w:r>
    </w:p>
    <w:p w:rsidR="00DE6B51" w:rsidRPr="00DE6B51" w:rsidRDefault="00DE6B51" w:rsidP="00DE6B51">
      <w:pPr>
        <w:tabs>
          <w:tab w:val="left" w:pos="851"/>
        </w:tabs>
        <w:spacing w:line="360" w:lineRule="auto"/>
        <w:ind w:firstLine="709"/>
        <w:jc w:val="both"/>
      </w:pPr>
      <w:r w:rsidRPr="00DE6B51">
        <w:t>4) статью 9 признать утратившей силу;</w:t>
      </w:r>
    </w:p>
    <w:p w:rsidR="00DE6B51" w:rsidRPr="00DE6B51" w:rsidRDefault="00DE6B51" w:rsidP="00DE6B51">
      <w:pPr>
        <w:tabs>
          <w:tab w:val="left" w:pos="851"/>
        </w:tabs>
        <w:spacing w:line="360" w:lineRule="auto"/>
        <w:ind w:firstLine="709"/>
        <w:jc w:val="both"/>
      </w:pPr>
      <w:r w:rsidRPr="00DE6B51">
        <w:t>5) в статье 31:</w:t>
      </w:r>
    </w:p>
    <w:p w:rsidR="00DE6B51" w:rsidRPr="00DE6B51" w:rsidRDefault="00DE6B51" w:rsidP="00DE6B51">
      <w:pPr>
        <w:tabs>
          <w:tab w:val="left" w:pos="709"/>
        </w:tabs>
        <w:spacing w:line="360" w:lineRule="auto"/>
        <w:ind w:firstLine="709"/>
        <w:jc w:val="both"/>
      </w:pPr>
      <w:r w:rsidRPr="00DE6B51">
        <w:t xml:space="preserve">а) часть 1 изложить в следующей редакции: </w:t>
      </w:r>
    </w:p>
    <w:p w:rsidR="00DE6B51" w:rsidRPr="00DE6B51" w:rsidRDefault="00DE6B51" w:rsidP="00DE6B51">
      <w:pPr>
        <w:spacing w:line="360" w:lineRule="auto"/>
        <w:ind w:firstLine="709"/>
        <w:jc w:val="both"/>
      </w:pPr>
      <w:r w:rsidRPr="00DE6B51">
        <w:t>«1. Постановление улусной (районной, городской) комиссии может быть обжаловано в порядке, установленном законодательством Российской Федерации.»;</w:t>
      </w:r>
    </w:p>
    <w:p w:rsidR="00DE6B51" w:rsidRPr="00DE6B51" w:rsidRDefault="00DE6B51" w:rsidP="00DE6B51">
      <w:pPr>
        <w:spacing w:line="360" w:lineRule="auto"/>
        <w:ind w:firstLine="709"/>
        <w:jc w:val="both"/>
      </w:pPr>
      <w:r w:rsidRPr="00DE6B51">
        <w:t>б) в части 2 слова «в районном суде» исключить.</w:t>
      </w:r>
    </w:p>
    <w:p w:rsidR="00DE6B51" w:rsidRPr="00DE6B51" w:rsidRDefault="00DE6B51" w:rsidP="00DE6B51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DE6B51" w:rsidRPr="00DE6B51" w:rsidRDefault="00DE6B51" w:rsidP="00DE6B51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DE6B51">
        <w:rPr>
          <w:b/>
          <w:i/>
        </w:rPr>
        <w:t>Статья 2</w:t>
      </w:r>
    </w:p>
    <w:p w:rsidR="00DE6B51" w:rsidRPr="00DE6B51" w:rsidRDefault="00DE6B51" w:rsidP="00DE6B51">
      <w:pPr>
        <w:spacing w:line="360" w:lineRule="auto"/>
        <w:ind w:firstLine="709"/>
        <w:jc w:val="both"/>
        <w:rPr>
          <w:b/>
          <w:i/>
          <w:highlight w:val="yellow"/>
        </w:rPr>
      </w:pPr>
      <w:r w:rsidRPr="00DE6B51">
        <w:rPr>
          <w:rFonts w:eastAsia="Calibri"/>
          <w:lang w:eastAsia="en-US"/>
        </w:rPr>
        <w:t xml:space="preserve">Настоящий Закон вступает в силу по истечении десяти дней </w:t>
      </w:r>
      <w:r w:rsidRPr="00A74FFA">
        <w:rPr>
          <w:rFonts w:eastAsia="Calibri"/>
          <w:lang w:eastAsia="en-US"/>
        </w:rPr>
        <w:t>после</w:t>
      </w:r>
      <w:r w:rsidRPr="00DE6B51">
        <w:rPr>
          <w:rFonts w:eastAsia="Calibri"/>
          <w:lang w:eastAsia="en-US"/>
        </w:rPr>
        <w:t xml:space="preserve"> дня его официального опубликования.</w:t>
      </w:r>
    </w:p>
    <w:p w:rsidR="00C5792C" w:rsidRPr="00066716" w:rsidRDefault="00C5792C" w:rsidP="00DE6B51">
      <w:pPr>
        <w:spacing w:line="360" w:lineRule="auto"/>
        <w:ind w:firstLine="709"/>
        <w:jc w:val="both"/>
      </w:pPr>
    </w:p>
    <w:p w:rsidR="00C5792C" w:rsidRDefault="00C5792C" w:rsidP="00DE6B51">
      <w:pPr>
        <w:spacing w:line="360" w:lineRule="auto"/>
        <w:ind w:firstLine="709"/>
        <w:jc w:val="both"/>
      </w:pPr>
    </w:p>
    <w:p w:rsidR="00C5792C" w:rsidRDefault="00C5792C" w:rsidP="00DE6B51">
      <w:pPr>
        <w:spacing w:line="360" w:lineRule="auto"/>
        <w:ind w:firstLine="709"/>
        <w:jc w:val="both"/>
      </w:pPr>
    </w:p>
    <w:p w:rsidR="00C5792C" w:rsidRPr="00066716" w:rsidRDefault="00C5792C" w:rsidP="00DE6B51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DE6B51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DE6B51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</w:p>
    <w:p w:rsidR="00C5792C" w:rsidRPr="00066716" w:rsidRDefault="00C5792C" w:rsidP="00DE6B51">
      <w:pPr>
        <w:spacing w:line="360" w:lineRule="auto"/>
        <w:ind w:firstLine="709"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3D03B9">
        <w:rPr>
          <w:rFonts w:eastAsia="Calibri"/>
          <w:i/>
          <w:lang w:eastAsia="en-US"/>
        </w:rPr>
        <w:t xml:space="preserve">19 </w:t>
      </w:r>
      <w:r w:rsidR="00DE6B51">
        <w:rPr>
          <w:rFonts w:eastAsia="Calibri"/>
          <w:i/>
          <w:lang w:eastAsia="en-US"/>
        </w:rPr>
        <w:t>декабря 2018 года</w:t>
      </w:r>
    </w:p>
    <w:p w:rsidR="00C5792C" w:rsidRPr="00066716" w:rsidRDefault="00C5792C" w:rsidP="00DE6B51">
      <w:pPr>
        <w:spacing w:line="360" w:lineRule="auto"/>
        <w:ind w:firstLine="709"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7D0F61">
        <w:rPr>
          <w:rFonts w:eastAsia="Calibri"/>
          <w:i/>
          <w:lang w:eastAsia="en-US"/>
        </w:rPr>
        <w:t>2076-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A74FFA">
        <w:rPr>
          <w:rFonts w:eastAsia="Calibri"/>
          <w:i/>
          <w:lang w:eastAsia="en-US"/>
        </w:rPr>
        <w:t>81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DE6B51">
      <w:pPr>
        <w:spacing w:line="360" w:lineRule="auto"/>
        <w:ind w:firstLine="709"/>
        <w:jc w:val="both"/>
      </w:pPr>
    </w:p>
    <w:sectPr w:rsidR="00C5792C" w:rsidSect="00DE6B5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6A" w:rsidRDefault="003E456A" w:rsidP="00DE6B51">
      <w:r>
        <w:separator/>
      </w:r>
    </w:p>
  </w:endnote>
  <w:endnote w:type="continuationSeparator" w:id="0">
    <w:p w:rsidR="003E456A" w:rsidRDefault="003E456A" w:rsidP="00DE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6A" w:rsidRDefault="003E456A" w:rsidP="00DE6B51">
      <w:r>
        <w:separator/>
      </w:r>
    </w:p>
  </w:footnote>
  <w:footnote w:type="continuationSeparator" w:id="0">
    <w:p w:rsidR="003E456A" w:rsidRDefault="003E456A" w:rsidP="00DE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B51" w:rsidRDefault="00DE6B5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D0F61">
      <w:rPr>
        <w:noProof/>
      </w:rPr>
      <w:t>2</w:t>
    </w:r>
    <w:r>
      <w:fldChar w:fldCharType="end"/>
    </w:r>
  </w:p>
  <w:p w:rsidR="00DE6B51" w:rsidRDefault="00DE6B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51"/>
    <w:rsid w:val="0003475D"/>
    <w:rsid w:val="00067523"/>
    <w:rsid w:val="000E4962"/>
    <w:rsid w:val="00114A15"/>
    <w:rsid w:val="001369BA"/>
    <w:rsid w:val="001C2C0D"/>
    <w:rsid w:val="001D73C2"/>
    <w:rsid w:val="0026222D"/>
    <w:rsid w:val="00337C36"/>
    <w:rsid w:val="003D03B9"/>
    <w:rsid w:val="003E456A"/>
    <w:rsid w:val="004C7798"/>
    <w:rsid w:val="00570833"/>
    <w:rsid w:val="005A1EBF"/>
    <w:rsid w:val="0070788D"/>
    <w:rsid w:val="007A5974"/>
    <w:rsid w:val="007B68F8"/>
    <w:rsid w:val="007D0F61"/>
    <w:rsid w:val="008209F0"/>
    <w:rsid w:val="008D101F"/>
    <w:rsid w:val="00A237B1"/>
    <w:rsid w:val="00A74FFA"/>
    <w:rsid w:val="00A80E88"/>
    <w:rsid w:val="00C5792C"/>
    <w:rsid w:val="00DE6B51"/>
    <w:rsid w:val="00F03FE8"/>
    <w:rsid w:val="00F364AE"/>
    <w:rsid w:val="00FC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E6B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E6B51"/>
    <w:rPr>
      <w:sz w:val="24"/>
      <w:szCs w:val="24"/>
    </w:rPr>
  </w:style>
  <w:style w:type="paragraph" w:styleId="a7">
    <w:name w:val="footer"/>
    <w:basedOn w:val="a"/>
    <w:link w:val="a8"/>
    <w:rsid w:val="00DE6B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E6B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E6B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E6B51"/>
    <w:rPr>
      <w:sz w:val="24"/>
      <w:szCs w:val="24"/>
    </w:rPr>
  </w:style>
  <w:style w:type="paragraph" w:styleId="a7">
    <w:name w:val="footer"/>
    <w:basedOn w:val="a"/>
    <w:link w:val="a8"/>
    <w:rsid w:val="00DE6B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E6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2018-12-20T03:01:00Z</cp:lastPrinted>
  <dcterms:created xsi:type="dcterms:W3CDTF">2018-12-20T07:03:00Z</dcterms:created>
  <dcterms:modified xsi:type="dcterms:W3CDTF">2018-12-25T02:36:00Z</dcterms:modified>
</cp:coreProperties>
</file>