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D390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D051A" w:rsidRPr="002D051A" w:rsidRDefault="002D051A" w:rsidP="002D051A">
      <w:pPr>
        <w:spacing w:line="360" w:lineRule="auto"/>
        <w:jc w:val="center"/>
        <w:rPr>
          <w:b/>
          <w:smallCaps/>
        </w:rPr>
      </w:pPr>
      <w:r w:rsidRPr="002D051A">
        <w:rPr>
          <w:b/>
          <w:smallCaps/>
        </w:rPr>
        <w:t xml:space="preserve">О внесении изменений в Закон Республики Саха (Якутия)  </w:t>
      </w:r>
    </w:p>
    <w:p w:rsidR="00C5792C" w:rsidRPr="002D051A" w:rsidRDefault="002D051A" w:rsidP="002D051A">
      <w:pPr>
        <w:spacing w:line="360" w:lineRule="auto"/>
        <w:jc w:val="center"/>
        <w:rPr>
          <w:smallCaps/>
        </w:rPr>
      </w:pPr>
      <w:r w:rsidRPr="002D051A">
        <w:rPr>
          <w:b/>
          <w:smallCaps/>
        </w:rPr>
        <w:t>«О налоговой политике Республики Саха (Якутия)»</w:t>
      </w:r>
    </w:p>
    <w:p w:rsidR="00C5792C" w:rsidRDefault="00C5792C" w:rsidP="002D051A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2D051A" w:rsidRPr="002D051A" w:rsidRDefault="002D051A" w:rsidP="002D051A">
      <w:pPr>
        <w:spacing w:line="360" w:lineRule="auto"/>
        <w:ind w:firstLine="709"/>
        <w:jc w:val="both"/>
        <w:rPr>
          <w:b/>
          <w:i/>
        </w:rPr>
      </w:pPr>
      <w:r w:rsidRPr="002D051A">
        <w:rPr>
          <w:b/>
          <w:i/>
        </w:rPr>
        <w:t>Статья 1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Внести в Закон Республики Саха (Якутия) от 7 ноября 2013 года 1231-З № 17-V</w:t>
      </w:r>
      <w:r>
        <w:t xml:space="preserve">                   </w:t>
      </w:r>
      <w:r w:rsidRPr="002D051A">
        <w:t xml:space="preserve"> «О налоговой политике Республики Саха (Якутия)» следующие изменения: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1) в статье 2: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а) в части 2: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после слов «одну регистровую тонну» дополнить словами «, одну единицу валовой вместимости»;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в таблице слова «(</w:t>
      </w:r>
      <w:r w:rsidR="00E576FD">
        <w:t xml:space="preserve">с </w:t>
      </w:r>
      <w:r w:rsidRPr="002D051A">
        <w:t>каждой регистровой тонны валовой вместимости)» заменить словами «(с каждой регистровой тонны или единицы валовой вместимости в случае, если валовая вместимость определена без указания размерности)»;</w:t>
      </w:r>
    </w:p>
    <w:p w:rsidR="002D051A" w:rsidRDefault="002D051A" w:rsidP="002D051A">
      <w:pPr>
        <w:spacing w:line="360" w:lineRule="auto"/>
        <w:ind w:firstLine="709"/>
        <w:jc w:val="both"/>
      </w:pPr>
      <w:r w:rsidRPr="002D051A">
        <w:t xml:space="preserve">б) </w:t>
      </w:r>
      <w:r w:rsidRPr="00565746">
        <w:t>части 3–</w:t>
      </w:r>
      <w:r w:rsidR="00565746">
        <w:t>5</w:t>
      </w:r>
      <w:r w:rsidRPr="002D051A">
        <w:t xml:space="preserve"> признать утратившими силу;</w:t>
      </w:r>
    </w:p>
    <w:p w:rsidR="00565746" w:rsidRPr="002D051A" w:rsidRDefault="00565746" w:rsidP="002D051A">
      <w:pPr>
        <w:spacing w:line="360" w:lineRule="auto"/>
        <w:ind w:firstLine="709"/>
        <w:jc w:val="both"/>
      </w:pPr>
      <w:r>
        <w:t>в) часть 6 признать утратившей силу;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2) часть 1 статьи 5 изложить в следующей редакции: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«1. Предоставить налоговые льготы по транспортному налогу и налогу на имущество организаций (посредством освобождения от уплаты) организациям, осуществляющим следующие виды деятельности: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растениеводство и животноводство, охота и предоставление соответствующих услуг в этих областях (код ОКВЭД2 01);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рыболовство и рыбоводство (код ОКВЭД2 03);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переработка и консервирование мяса и мясной пищевой продукции</w:t>
      </w:r>
      <w:r>
        <w:t xml:space="preserve">                                  </w:t>
      </w:r>
      <w:r w:rsidRPr="002D051A">
        <w:t xml:space="preserve"> (код ОКВЭД2 10.1);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переработка и консервирование рыбы, ракообразных и моллюсков</w:t>
      </w:r>
      <w:r>
        <w:t xml:space="preserve">                                </w:t>
      </w:r>
      <w:r w:rsidRPr="002D051A">
        <w:t xml:space="preserve"> (код ОКВЭД2 10.2);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производство растительных и животных масел и жиров (код ОКВЭД2 10.4);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производство молочной продукции (код ОКВЭД2 10.5);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>производство продуктов мукомольной и крупяной промышленности</w:t>
      </w:r>
      <w:r>
        <w:t xml:space="preserve">                              </w:t>
      </w:r>
      <w:r w:rsidRPr="002D051A">
        <w:t xml:space="preserve"> (код ОКВЭД2 10.61);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производство готовых кормов для животных (код ОКВЭД2 10.9);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выделка и крашение меха (код ОКВЭД2 15.11.1), кроме услуг по выделке и крашению меха, переведенных на систему налогообложения в виде единого налога на вмененный доход для отдельных видов деятельности;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деятельность ветеринарная (код ОКВЭД2 75), кроме ветеринарных услуг, переведенных на систему налогообложения в виде единого налога на вмененный доход для отдельных видов деятельности.»;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3) в статье 8: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а) часть 2 изложить в следующей редакции: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«2. В целях применения настоящего Закона и принятых в соответствии с ним подзаконных нормативных правовых актов Республики Саха (Якутия), а также рассмотрения предложений об установлении новых налоговых льгот и (или) пониженных налоговых ставок к налоговым льготам относятся полное или частичное освобождение от уплаты налогов, пониженные по сравнению с предусмотренными Налоговым кодексом Российской Федерации налоговые ставки, в том числе налоговые ставки, установленные статьями 1 и 3 настоящего Закона, за исключением налоговых ставок, установленных частями 2 и 2.1 статьи 3 настоящего Закона.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Пролонгация действия и изменение формулировок в связи с уточнением налоговых льгот, установленных настоящим Законом, приравниваются к установлению новых налоговых льгот.»;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б) в части 3 слова «и (или) пониженные налоговые ставки»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в) в части 4:</w:t>
      </w:r>
    </w:p>
    <w:p w:rsidR="002D051A" w:rsidRPr="00001AAA" w:rsidRDefault="002D051A" w:rsidP="002D051A">
      <w:pPr>
        <w:spacing w:line="360" w:lineRule="auto"/>
        <w:ind w:firstLine="709"/>
        <w:jc w:val="both"/>
      </w:pPr>
      <w:r w:rsidRPr="00001AAA">
        <w:t>в абзаце первом слова «и (или) пониженные налоговые ставки»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001AAA">
        <w:t>в абзаце втором после слов «Максимальный период действия налоговых льгот» слова «и (или) пониженных налоговых ставок» исключить, после слов «за исключением налоговых льгот и» слова «и (или)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в абзаце третьем слова «и (или) пониженные налоговые ставки»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г) в части 5 слова «и (или)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д) в части 6 слова «и (или)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е) в части 7 слова «и (или) пониженные налоговые ставки»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ж) в части 8 слова «и (или) пониженных налоговых ставок» и слова «и (или) объемах средств, высвобождаемых у налогоплательщиков в результате применения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>з) в части 9:</w:t>
      </w:r>
    </w:p>
    <w:p w:rsidR="002D051A" w:rsidRPr="00001AAA" w:rsidRDefault="002D051A" w:rsidP="002D051A">
      <w:pPr>
        <w:spacing w:line="360" w:lineRule="auto"/>
        <w:ind w:firstLine="709"/>
        <w:jc w:val="both"/>
      </w:pPr>
      <w:r w:rsidRPr="00001AAA">
        <w:t>в абзаце первом слова «и (или) пониженные налоговые ставки» исключить;</w:t>
      </w:r>
    </w:p>
    <w:p w:rsidR="00D50969" w:rsidRDefault="00001AAA" w:rsidP="002D051A">
      <w:pPr>
        <w:spacing w:line="360" w:lineRule="auto"/>
        <w:ind w:firstLine="709"/>
        <w:jc w:val="both"/>
      </w:pPr>
      <w:r w:rsidRPr="00001AAA">
        <w:t>в пункте 1</w:t>
      </w:r>
      <w:r w:rsidR="002D051A" w:rsidRPr="00001AAA">
        <w:t xml:space="preserve"> слова «и (или) пониженной налоговой ставки» исключить</w:t>
      </w:r>
      <w:r w:rsidR="00D50969">
        <w:t>;</w:t>
      </w:r>
    </w:p>
    <w:p w:rsidR="002D051A" w:rsidRPr="002D051A" w:rsidRDefault="00D50969" w:rsidP="002D051A">
      <w:pPr>
        <w:spacing w:line="360" w:lineRule="auto"/>
        <w:ind w:firstLine="709"/>
        <w:jc w:val="both"/>
      </w:pPr>
      <w:r>
        <w:t xml:space="preserve">в пункте 2 слова </w:t>
      </w:r>
      <w:r w:rsidR="002D051A" w:rsidRPr="00001AAA">
        <w:t>«и (или) пониженн</w:t>
      </w:r>
      <w:r>
        <w:t>ых</w:t>
      </w:r>
      <w:r w:rsidR="002D051A" w:rsidRPr="00001AAA">
        <w:t xml:space="preserve"> налогов</w:t>
      </w:r>
      <w:r>
        <w:t>ых</w:t>
      </w:r>
      <w:r w:rsidR="002D051A" w:rsidRPr="00001AAA">
        <w:t xml:space="preserve"> став</w:t>
      </w:r>
      <w:r>
        <w:t>о</w:t>
      </w:r>
      <w:r w:rsidR="002D051A" w:rsidRPr="00001AAA">
        <w:t>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и) часть 10 изложить в следующей редакции: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«10. Положения частей 7 и 9 настоящей статьи не распространяются на налогоплательщиков, претендующих на применение налоговых льгот по специальным налоговым режимам, установленных настоящим Законом.»;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к) в части 11 слова «и (или)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л) в части 12 слова «и (или)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м) в части 13 слова «и пролонгации» заменить словами «налоговых льгот, пролонгации и изменению формулировок в связи с уточнением», слова «и (или) пониженных налоговых ставок»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4) статьи 9 и 9.1 изложить в следующей редакции:</w:t>
      </w:r>
    </w:p>
    <w:p w:rsidR="00565746" w:rsidRDefault="002D051A" w:rsidP="002D051A">
      <w:pPr>
        <w:spacing w:line="360" w:lineRule="auto"/>
        <w:ind w:firstLine="709"/>
        <w:jc w:val="both"/>
      </w:pPr>
      <w:r w:rsidRPr="002D051A">
        <w:t>«Статья 9. Порядок рассмотрения предложений об установлении</w:t>
      </w:r>
    </w:p>
    <w:p w:rsidR="002D051A" w:rsidRPr="002D051A" w:rsidRDefault="00565746" w:rsidP="002D051A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</w:t>
      </w:r>
      <w:r w:rsidR="002D051A" w:rsidRPr="002D051A">
        <w:t xml:space="preserve"> новых налоговых льгот 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1. Предложения об установлении новых налоговых льгот вносятся по инициативе субъектов права законодательной инициативы, исполнительных органов государственной власти Республики Саха (Якутия), органов местного самоуправления, налогоплательщика, объединения налогоплательщиков Республики Саха (Якутия) (далее </w:t>
      </w:r>
      <w:r w:rsidR="00565746">
        <w:t>–</w:t>
      </w:r>
      <w:r w:rsidRPr="002D051A">
        <w:t xml:space="preserve"> инициаторы) на рассмотрение постоянно действующей налоговой комиссии при Правительстве Республики Саха (Якутия).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2. К рассмотрению постоянно действующей налоговой комиссией при Правительстве Республики Саха (Якутия) принимаются предложения об установлении новых налоговых льгот, представленные не позднее 1 июля текущего года.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Рассмотрение предложений, указанных в абзаце первом настоящей части, поступивших после указанного срока, переносится на следующий год.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3. Предложение об установлении новой налоговой льготы оформляется в виде заявки на разработку проекта закона Республики Саха (Якутия) о внесении изменений в настоящий Закон (далее </w:t>
      </w:r>
      <w:r w:rsidR="00565746">
        <w:t>–</w:t>
      </w:r>
      <w:r w:rsidRPr="002D051A">
        <w:t xml:space="preserve"> заявка), которая должна содержать: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1) формулировку предполагаемой к введению налоговой льготы;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2) вид налога, размер налоговой льготы;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3) обоснованное предложение о сроке введения налоговой льготы в действие;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4) обоснованное предложение о периоде действия налоговой льготы;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>5) определение категори</w:t>
      </w:r>
      <w:r w:rsidR="00001AAA">
        <w:t>и</w:t>
      </w:r>
      <w:r w:rsidRPr="002D051A">
        <w:t xml:space="preserve"> налогоплательщиков, для которых предлагается установить налоговую льготу, и их предполагаемый перечень, а также код вида экономической деятельности (по ОКВЭД), к которому относится налоговая льгота </w:t>
      </w:r>
      <w:r w:rsidR="00565746">
        <w:t xml:space="preserve">                     </w:t>
      </w:r>
      <w:r w:rsidRPr="002D051A">
        <w:t>(если налоговую льготу предлагается установить для отдельных видов экономической деятельности);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6) принадлежность налоговой льготы к группе полномочий в соответствии </w:t>
      </w:r>
      <w:r w:rsidR="00565746">
        <w:t xml:space="preserve">                      </w:t>
      </w:r>
      <w:r w:rsidRPr="002D051A">
        <w:t xml:space="preserve">с методикой распределения дотаций, утвержденной постановлением Правительства Российской Федерации от 22 ноября 2004 </w:t>
      </w:r>
      <w:r w:rsidRPr="00001AAA">
        <w:t>г</w:t>
      </w:r>
      <w:r w:rsidR="00565746" w:rsidRPr="00001AAA">
        <w:t>ода</w:t>
      </w:r>
      <w:r w:rsidRPr="002D051A">
        <w:t xml:space="preserve"> № 670 «О распределении дотаций на выравнивание бюджетной обеспеченности субъектов Российской Федерации»;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7) примерную оценку доходов консолидированного бюджета Республики Саха (Якутия), выпадающих в результате введения налоговой льготы, данную на весь период действия налоговой льготы;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8) цель установления налоговой льготы;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9) указание на структурный элемент (структурные элементы) государственной программы Республики Саха (Якутия) (государственных программ Республики Саха (Якутия)) или в случае, если налоговая льгота не направлена на достижение цели государственной программы Республики Саха (Якутия), то на структурный элемент (структурные элементы) Стратегии социально-экономического развития Республики Саха (Якутия), на значение которого</w:t>
      </w:r>
      <w:r w:rsidR="00D50969">
        <w:t xml:space="preserve"> (которых) </w:t>
      </w:r>
      <w:r w:rsidRPr="002D051A">
        <w:t>оказывает влияние предлагаемая к установлению налоговая льгота;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10) показатель (индикатор) достижения цели (целей) государственной программы Республики Саха (Якутия) (государственных программ Республики Саха (Якутия)</w:t>
      </w:r>
      <w:r w:rsidR="00565746">
        <w:t xml:space="preserve">                  </w:t>
      </w:r>
      <w:r w:rsidRPr="002D051A">
        <w:t xml:space="preserve"> или в случае, если налоговая льгота не направлена на достижение цели </w:t>
      </w:r>
      <w:r w:rsidR="00565746">
        <w:t xml:space="preserve">            </w:t>
      </w:r>
      <w:r w:rsidRPr="002D051A">
        <w:t xml:space="preserve">государственной программы Республики Саха (Якутия), </w:t>
      </w:r>
      <w:r w:rsidR="00001AAA">
        <w:t xml:space="preserve">то </w:t>
      </w:r>
      <w:r w:rsidRPr="002D051A">
        <w:t>цели (целей) Стратегии</w:t>
      </w:r>
      <w:r w:rsidR="00565746">
        <w:t xml:space="preserve"> </w:t>
      </w:r>
      <w:r w:rsidRPr="002D051A">
        <w:t xml:space="preserve"> социально-экономического развития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11) сравнительный анализ результативности установления налоговой льготы и результативности применения альтернативных механизмов достижения цели (целей) государственной программы Республики Саха (Якутия) (государственных программ Республики Саха (Якутия) или в случае, если налоговая льгота не направлена на достижение цели государственной программы Республики Саха (Якутия), то сравнительный анализ результативности установления налоговой льготы и результативности применения альтернативных механизмов достижения цели (целей) Стратегии социально-экономического развития Республики Саха (Якутия);</w:t>
      </w:r>
    </w:p>
    <w:p w:rsidR="00447710" w:rsidRDefault="00447710" w:rsidP="002D051A">
      <w:pPr>
        <w:spacing w:line="360" w:lineRule="auto"/>
        <w:ind w:firstLine="709"/>
        <w:jc w:val="both"/>
      </w:pP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>12) предполагаемые направления использования средств, высвобождающихся у налогоплательщиков в результате установления налоговой льготы;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13) оценку эффективности налогового расхода Республики Саха (Якутия), обусловленного установлением налоговой льготы, произведенную в соответствии </w:t>
      </w:r>
      <w:r w:rsidR="00565746">
        <w:t xml:space="preserve">                        </w:t>
      </w:r>
      <w:r w:rsidRPr="002D051A">
        <w:t>со статьей 9.1 настоящего Закона.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4. К заявке прилагаются заявления налогоплательщиков, предположительно подпадающих под действие предлагаемой к установлению налоговой льготы,</w:t>
      </w:r>
      <w:r w:rsidR="00565746">
        <w:t xml:space="preserve">                                    </w:t>
      </w:r>
      <w:r w:rsidRPr="002D051A">
        <w:t>о разрешении доступа к сведениям, содержащимся в заявке, составляющим налоговую и коммерческую тайну, членам постоянно действующей налоговой комиссии при Правительстве Республики Саха (Якутия), иным органам государственной власти Республики Саха (Якутия) в целях исполнения их функций.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5. В случае, если в качестве инициаторов выступают налогоплательщики или объединения налогоплательщиков, то заявки вносятся на рассмотрение постоянно действующей налоговой комиссии при Правительстве Республики Саха (Якутия) по согласованию с исполнительным органом государственной власти Республики Саха (Якутия), координирующим сферу деятельности, к которой относятся инициаторы. 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Исполнительный орган государственной власти Республики Саха (Якутия), согласовавший заявку, определяется в качестве куратора налогового расхода.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6. Форма составления заявки и форма заявления налогоплательщика, указанного в части 4 настоящей статьи, утверждаются решением Главы Республики Саха (Якутия).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7. Постоянно действующая налоговая комиссия при Правительстве Республики Саха (Якутия) при соответствии заявки требованиям, установленным частями 2</w:t>
      </w:r>
      <w:r w:rsidR="00565746">
        <w:t>–</w:t>
      </w:r>
      <w:r w:rsidRPr="002D051A">
        <w:t>5</w:t>
      </w:r>
      <w:r w:rsidR="00565746">
        <w:t xml:space="preserve"> </w:t>
      </w:r>
      <w:r w:rsidRPr="002D051A">
        <w:t>настоящей статьи, рассматривает указанную заявку и принимает решение о целесообразности установления новой налоговой льготы.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8. При несоответствии заявки требованиям, установленным частями 2</w:t>
      </w:r>
      <w:r w:rsidR="00565746">
        <w:t>–</w:t>
      </w:r>
      <w:r w:rsidRPr="002D051A">
        <w:t>5</w:t>
      </w:r>
      <w:r w:rsidR="00565746">
        <w:t xml:space="preserve"> </w:t>
      </w:r>
      <w:r w:rsidRPr="002D051A">
        <w:t>настоящей статьи, указанная заявка рассмотрению постоянно действующей налоговой комиссией при Правительстве Республики Саха (Якутия) не подлежит.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9. В случае одобрения заявки постоянно действующей налоговой комиссией при Правительстве Республики Саха (Якутия) разрабатывается проект закона Республики Саха (Якутия) о внесении изменений в настоящий Закон.</w:t>
      </w:r>
    </w:p>
    <w:p w:rsidR="002D051A" w:rsidRDefault="002D051A" w:rsidP="002D051A">
      <w:pPr>
        <w:spacing w:line="360" w:lineRule="auto"/>
        <w:ind w:firstLine="709"/>
        <w:jc w:val="both"/>
      </w:pPr>
      <w:r w:rsidRPr="002D051A">
        <w:t>10. В случае отклонения заявки инициатору направляется выписка из протокола постоянно действующей налоговой комиссии при Правительстве Республики Саха (Якутия).</w:t>
      </w:r>
    </w:p>
    <w:p w:rsidR="00447710" w:rsidRDefault="00447710" w:rsidP="002D051A">
      <w:pPr>
        <w:spacing w:line="360" w:lineRule="auto"/>
        <w:ind w:firstLine="709"/>
        <w:jc w:val="both"/>
      </w:pPr>
    </w:p>
    <w:p w:rsidR="00447710" w:rsidRDefault="00447710" w:rsidP="002D051A">
      <w:pPr>
        <w:spacing w:line="360" w:lineRule="auto"/>
        <w:ind w:firstLine="709"/>
        <w:jc w:val="both"/>
      </w:pPr>
    </w:p>
    <w:p w:rsidR="00447710" w:rsidRDefault="002D051A" w:rsidP="002D051A">
      <w:pPr>
        <w:spacing w:line="360" w:lineRule="auto"/>
        <w:ind w:firstLine="709"/>
        <w:jc w:val="both"/>
      </w:pPr>
      <w:r w:rsidRPr="002D051A">
        <w:lastRenderedPageBreak/>
        <w:t>Статья 9.1. Оценка эффективности налоговых расходов</w:t>
      </w:r>
    </w:p>
    <w:p w:rsidR="002D051A" w:rsidRPr="002D051A" w:rsidRDefault="00447710" w:rsidP="002D051A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</w:t>
      </w:r>
      <w:r w:rsidR="002D051A" w:rsidRPr="002D051A">
        <w:t xml:space="preserve"> Республики Саха (Якутия) 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1. Оценка эффективности налоговых расходов Республики Саха (Якутия) проводится при внесении предложений об установлении новых налоговых льгот, а также ежегодном анализе действующих налоговых льгот, установленных настоящим Законом.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2. В целях проведения оценки эффективности налоговых расходов Республики Саха (Якутия) используются следующие понятия: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налоговые расходы Республики Саха (Якутия) – выпадающие доходы государственного бюджета Республики Саха (Якутия), обусловленные налоговыми льготами, установленными настоящим Законом и предусмотренными в качестве мер государственной поддержки в соответствии с целями государственных программ Республики Саха (Якутия) и (или) целями Стратегии социально-экономического развития Республики Саха (Якутия), не относящимися к государственным программам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куратор налогового расхода </w:t>
      </w:r>
      <w:r w:rsidR="00565746">
        <w:t>–</w:t>
      </w:r>
      <w:r w:rsidRPr="002D051A">
        <w:t xml:space="preserve"> исполнительн</w:t>
      </w:r>
      <w:r w:rsidR="00E576FD">
        <w:t>ы</w:t>
      </w:r>
      <w:r w:rsidRPr="002D051A">
        <w:t>й</w:t>
      </w:r>
      <w:r w:rsidR="00565746">
        <w:t xml:space="preserve"> </w:t>
      </w:r>
      <w:r w:rsidRPr="002D051A">
        <w:t>орган государственной власти Республики Саха (Якутия), ответственный за достижение соответствующих налоговому расходу Республики Саха (Якутия) целей государственной программы Республики Саха (Якутия) и (или) целей Стратегии социально-экономического развития Республики Саха (Якутия), не относящихся к государственным программам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перечень налоговых расходов Республики Саха (Якутия) </w:t>
      </w:r>
      <w:r w:rsidR="00565746">
        <w:t>–</w:t>
      </w:r>
      <w:r w:rsidRPr="002D051A">
        <w:t xml:space="preserve"> документ, содержащий сведения о распределении налоговых расходов Республики Саха (Якутия) в соответствии с целями государственных программ Республики Саха (Якутия), структурных элементов государственных программ Республики Саха (Якутия) и (или) целями Стратегии социально-экономического развития Республики Саха (Якутия), не относящимися к государственным программам Республики Саха (Якутия), о кураторах налоговых расходов, а также о целевых категориях налоговых расходов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социальные налоговые расходы Республики Саха (Якутия) </w:t>
      </w:r>
      <w:r w:rsidR="00565746">
        <w:t>–</w:t>
      </w:r>
      <w:r w:rsidRPr="002D051A">
        <w:t xml:space="preserve"> целевая</w:t>
      </w:r>
      <w:r w:rsidR="00565746">
        <w:t xml:space="preserve"> </w:t>
      </w:r>
      <w:r w:rsidRPr="002D051A">
        <w:t>категория налоговых расходов Республики Саха (Якутия), обусловленных необходимостью обеспечения социальной защиты (поддержки) населения;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стимулирующие налоговые расходы Республики Саха (Якутия) </w:t>
      </w:r>
      <w:r w:rsidR="00565746">
        <w:t>–</w:t>
      </w:r>
      <w:r w:rsidRPr="002D051A">
        <w:t xml:space="preserve"> целевая</w:t>
      </w:r>
      <w:r w:rsidR="00565746">
        <w:t xml:space="preserve"> </w:t>
      </w:r>
      <w:r w:rsidRPr="002D051A">
        <w:t>категория налоговых расходов Республики Саха (Якутия), предполагающих стимулирование экономической активности субъектов предпринимательской деятельности и последующее увеличение доходов консолидированного бюджета Республики Саха (Якутия);</w:t>
      </w:r>
    </w:p>
    <w:p w:rsidR="00447710" w:rsidRDefault="00447710" w:rsidP="002D051A">
      <w:pPr>
        <w:spacing w:line="360" w:lineRule="auto"/>
        <w:ind w:firstLine="709"/>
        <w:jc w:val="both"/>
      </w:pP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 xml:space="preserve">технические налоговые расходы Республики Саха (Якутия) </w:t>
      </w:r>
      <w:r w:rsidR="00565746">
        <w:t>–</w:t>
      </w:r>
      <w:r w:rsidRPr="002D051A">
        <w:t xml:space="preserve"> целевая</w:t>
      </w:r>
      <w:r w:rsidR="00565746">
        <w:t xml:space="preserve"> </w:t>
      </w:r>
      <w:r w:rsidRPr="002D051A">
        <w:t>категория налоговых расходов Республики Саха (Якутия), предполагающих уменьшение расходов плательщиков, воспользовавшихся налоговыми льготами, финансовое обеспечение которых осуществляется в полном объеме или частично за счет государственного бюджета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нормативные характеристики налогового расхода Республики Саха (Якутия) </w:t>
      </w:r>
      <w:r w:rsidR="00565746">
        <w:t>–</w:t>
      </w:r>
      <w:r w:rsidRPr="002D051A">
        <w:t xml:space="preserve"> сведения</w:t>
      </w:r>
      <w:r w:rsidR="00565746">
        <w:t xml:space="preserve"> </w:t>
      </w:r>
      <w:r w:rsidRPr="002D051A">
        <w:t xml:space="preserve">о положениях настоящего Закона, которыми предусматриваются налоговые льготы, наименованиях налогов, по которым установлены налоговые льготы, категориях плательщиков, для которых предусмотрены налоговые льготы, а также иные характеристики, предусмотренные нормативными правовыми актами Республики Саха (Якутия); 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фискальные характеристики налогового расхода Республики Саха (Якутия) </w:t>
      </w:r>
      <w:r w:rsidR="00565746">
        <w:t>–</w:t>
      </w:r>
      <w:r w:rsidRPr="002D051A">
        <w:t xml:space="preserve"> сведения</w:t>
      </w:r>
      <w:r w:rsidR="00565746">
        <w:t xml:space="preserve"> </w:t>
      </w:r>
      <w:r w:rsidRPr="002D051A">
        <w:t>об объеме налоговых льгот, предоставленных плательщикам, о численности получателей налоговых льгот и об объеме налогов, задекларированных ими для уплаты в консолидированный бюджет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целевые характеристики налогового расхода Республики Саха (Якутия) </w:t>
      </w:r>
      <w:r w:rsidR="00565746">
        <w:t>–</w:t>
      </w:r>
      <w:r w:rsidRPr="002D051A">
        <w:t xml:space="preserve"> сведения</w:t>
      </w:r>
      <w:r w:rsidR="00565746">
        <w:t xml:space="preserve"> </w:t>
      </w:r>
      <w:r w:rsidRPr="002D051A">
        <w:t>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Республики Саха (Якутия).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3. Оценка эффективности налоговых расходов Республики Саха (Якутия) при внесении предложений об установлении новых налоговых льгот производится инициаторами в соответствии с Порядком оценки эффективности налоговых расходов Республики Саха (Якутия).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4. Оценка эффективности налоговых расходов Республики Саха (Якутия), обусловленных действующими налоговыми льготами, за год, предшествующий отчетному, производится кураторами налоговых расходов в соответствии с Порядком оценки эффективности налоговых расходов Республики Саха (Якутия).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5. Обобщенные результаты оценки эффективности налоговых расходов Республики Саха (Якутия) за год, предшествующий отчетному, с предложениями об отмене неэффективных налоговых льгот, а также об изменении формулировок в связи с уточнением налоговых льгот в срок до 1 августа текущего года рассматриваются постоянно действующей налоговой комиссией при Правительстве Республики Саха (Якутия).</w:t>
      </w:r>
    </w:p>
    <w:p w:rsidR="00447710" w:rsidRDefault="00447710" w:rsidP="002D051A">
      <w:pPr>
        <w:spacing w:line="360" w:lineRule="auto"/>
        <w:ind w:firstLine="709"/>
        <w:jc w:val="both"/>
      </w:pP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>6. Налогоплательщики, являющиеся организациями, использующими налоговые льготы, установленные настоящим Законом, обязаны в порядке и сроки, которые утверждены Главой Республики Саха (Якутия), представлять в адрес соответствующего куратора налогового расхода информацию, необходимую для проведения оценки эффективности налоговых расходов Республики Саха (Якутия).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7. Постоянно действующая налоговая комиссия при Правительстве Республики Саха (Якутия) по итогам рассмотрения обобщенных результатов оценки эффективности действующих налоговых расходов Республики Саха (Якутия) принимает решение о целесообразности подготовки проекта закона Республики Саха (Якутия) о внесении изменений в настоящий Закон.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8. Решением Главы Республики Саха (Якутия) утверждаются: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1) порядок оценки эффективности налоговых расходов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2) порядок формирования перечня налоговых расходов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3) правила формирования информации о нормативных, целевых и фискальных характеристиках налоговых расходов Республики Саха (Якутия);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4) порядок обобщения результатов оценки эффективности налоговых расходов Республики Саха (Якутия), осуществляемой кураторами налоговых расходов;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5) порядок и сроки представления налогоплательщиками, являющимися организациями, использующими налоговые льготы, установленные настоящим Законом, информации, указанной в части 6 настоящей статьи.»;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5) в статье 14: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а) в части 8 слова «, частей 1 и 2 статьи 5» исключить;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>б) дополнить частью 11 следующего содержания:</w:t>
      </w:r>
    </w:p>
    <w:p w:rsidR="002D051A" w:rsidRDefault="002D051A" w:rsidP="002D051A">
      <w:pPr>
        <w:spacing w:line="360" w:lineRule="auto"/>
        <w:ind w:firstLine="709"/>
        <w:jc w:val="both"/>
      </w:pPr>
      <w:r w:rsidRPr="002D051A">
        <w:t xml:space="preserve">«11. Положения частей 1 и 2 статьи 5 настоящего Закона применяются </w:t>
      </w:r>
      <w:r w:rsidR="00565746">
        <w:t xml:space="preserve">                           </w:t>
      </w:r>
      <w:r w:rsidRPr="002D051A">
        <w:t>по 31 декабря 2023 года включительно.».</w:t>
      </w:r>
    </w:p>
    <w:p w:rsidR="00565746" w:rsidRPr="002D051A" w:rsidRDefault="00565746" w:rsidP="002D051A">
      <w:pPr>
        <w:spacing w:line="360" w:lineRule="auto"/>
        <w:ind w:firstLine="709"/>
        <w:jc w:val="both"/>
      </w:pPr>
    </w:p>
    <w:p w:rsidR="002D051A" w:rsidRPr="00565746" w:rsidRDefault="002D051A" w:rsidP="002D051A">
      <w:pPr>
        <w:spacing w:line="360" w:lineRule="auto"/>
        <w:ind w:firstLine="709"/>
        <w:jc w:val="both"/>
        <w:rPr>
          <w:b/>
          <w:i/>
        </w:rPr>
      </w:pPr>
      <w:r w:rsidRPr="00565746">
        <w:rPr>
          <w:b/>
          <w:i/>
        </w:rPr>
        <w:t xml:space="preserve">Статья 2 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1. Настоящий Закон вступает в силу по истечении одного месяца </w:t>
      </w:r>
      <w:r w:rsidR="00001AAA">
        <w:t>со</w:t>
      </w:r>
      <w:r w:rsidRPr="002D051A">
        <w:t xml:space="preserve"> дня его официального опубликования, за исключением подпунктов «а», «б» и «в» пункта 1</w:t>
      </w:r>
      <w:r w:rsidR="00565746">
        <w:t xml:space="preserve">                    </w:t>
      </w:r>
      <w:r w:rsidRPr="002D051A">
        <w:t xml:space="preserve"> статьи 1 настоящего Закона.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2. Подпункты «а» и «б» пункта 1 статьи 1 настоящего Закона вступают в силу </w:t>
      </w:r>
      <w:r w:rsidR="00565746">
        <w:t xml:space="preserve">                        </w:t>
      </w:r>
      <w:r w:rsidRPr="002D051A">
        <w:t xml:space="preserve">с 1 января 2020 года, но не ранее чем по истечении одного месяца </w:t>
      </w:r>
      <w:r w:rsidR="00001AAA">
        <w:t>со</w:t>
      </w:r>
      <w:r w:rsidRPr="002D051A">
        <w:t xml:space="preserve"> дня официального опубликования настоящего Закона.</w:t>
      </w:r>
    </w:p>
    <w:p w:rsidR="002D051A" w:rsidRPr="002D051A" w:rsidRDefault="002D051A" w:rsidP="002D051A">
      <w:pPr>
        <w:spacing w:line="360" w:lineRule="auto"/>
        <w:ind w:firstLine="709"/>
        <w:jc w:val="both"/>
      </w:pPr>
      <w:r w:rsidRPr="002D051A">
        <w:lastRenderedPageBreak/>
        <w:t xml:space="preserve">3. Подпункт «в» пункта 1 статьи 1 настоящего Закона вступает в силу </w:t>
      </w:r>
      <w:r w:rsidR="00D50969">
        <w:t xml:space="preserve">                                   </w:t>
      </w:r>
      <w:r w:rsidRPr="002D051A">
        <w:t xml:space="preserve">с 1 января 2021 года, но не ранее чем по истечении одного месяца </w:t>
      </w:r>
      <w:r w:rsidR="00001AAA">
        <w:t>со</w:t>
      </w:r>
      <w:r w:rsidRPr="002D051A">
        <w:t xml:space="preserve"> дня официального опубликования настоящего Закона.</w:t>
      </w:r>
    </w:p>
    <w:p w:rsidR="00C5792C" w:rsidRPr="002D051A" w:rsidRDefault="002D051A" w:rsidP="002D051A">
      <w:pPr>
        <w:spacing w:line="360" w:lineRule="auto"/>
        <w:ind w:firstLine="709"/>
        <w:jc w:val="both"/>
      </w:pPr>
      <w:r w:rsidRPr="002D051A">
        <w:t xml:space="preserve">4. Положение части 1 статьи 5 Закона Республики Саха (Якутия) </w:t>
      </w:r>
      <w:r w:rsidR="00D50969">
        <w:t xml:space="preserve">                                           </w:t>
      </w:r>
      <w:r w:rsidRPr="002D051A">
        <w:t>от 7 ноября 2013 года 1231-З № 17-V «О налоговой политике Республики Саха (Якутия)» (в редакции настоящего Закона) распространяется на правоотношения, возникшие</w:t>
      </w:r>
      <w:r w:rsidR="00D50969">
        <w:t xml:space="preserve">                     </w:t>
      </w:r>
      <w:r w:rsidRPr="002D051A">
        <w:t xml:space="preserve"> с 1 января 2019 года.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262A1">
        <w:rPr>
          <w:rFonts w:eastAsia="Calibri"/>
          <w:i/>
          <w:lang w:eastAsia="en-US"/>
        </w:rPr>
        <w:t xml:space="preserve">21 </w:t>
      </w:r>
      <w:r w:rsidR="00447710">
        <w:rPr>
          <w:rFonts w:eastAsia="Calibri"/>
          <w:i/>
          <w:lang w:eastAsia="en-US"/>
        </w:rPr>
        <w:t>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</w:t>
      </w:r>
      <w:r w:rsidR="004262A1">
        <w:rPr>
          <w:rFonts w:eastAsia="Calibri"/>
          <w:i/>
          <w:lang w:eastAsia="en-US"/>
        </w:rPr>
        <w:t xml:space="preserve">   </w:t>
      </w:r>
      <w:r w:rsidRPr="00066716">
        <w:rPr>
          <w:rFonts w:eastAsia="Calibri"/>
          <w:i/>
          <w:lang w:eastAsia="en-US"/>
        </w:rPr>
        <w:t xml:space="preserve"> </w:t>
      </w:r>
      <w:r w:rsidR="00594A10">
        <w:rPr>
          <w:rFonts w:eastAsia="Calibri"/>
          <w:i/>
          <w:lang w:val="en-US" w:eastAsia="en-US"/>
        </w:rPr>
        <w:t>2182-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262A1">
        <w:rPr>
          <w:rFonts w:eastAsia="Calibri"/>
          <w:i/>
          <w:lang w:eastAsia="en-US"/>
        </w:rPr>
        <w:t>275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2D051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0C" w:rsidRDefault="006D390C" w:rsidP="002D051A">
      <w:r>
        <w:separator/>
      </w:r>
    </w:p>
  </w:endnote>
  <w:endnote w:type="continuationSeparator" w:id="0">
    <w:p w:rsidR="006D390C" w:rsidRDefault="006D390C" w:rsidP="002D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0C" w:rsidRDefault="006D390C" w:rsidP="002D051A">
      <w:r>
        <w:separator/>
      </w:r>
    </w:p>
  </w:footnote>
  <w:footnote w:type="continuationSeparator" w:id="0">
    <w:p w:rsidR="006D390C" w:rsidRDefault="006D390C" w:rsidP="002D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1A" w:rsidRDefault="002D051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4A10">
      <w:rPr>
        <w:noProof/>
      </w:rPr>
      <w:t>9</w:t>
    </w:r>
    <w:r>
      <w:fldChar w:fldCharType="end"/>
    </w:r>
  </w:p>
  <w:p w:rsidR="002D051A" w:rsidRDefault="002D05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51A"/>
    <w:rsid w:val="00001AAA"/>
    <w:rsid w:val="0003475D"/>
    <w:rsid w:val="00067523"/>
    <w:rsid w:val="001369BA"/>
    <w:rsid w:val="001C2C0D"/>
    <w:rsid w:val="001D73C2"/>
    <w:rsid w:val="0026222D"/>
    <w:rsid w:val="002D051A"/>
    <w:rsid w:val="004262A1"/>
    <w:rsid w:val="00431BB4"/>
    <w:rsid w:val="00447710"/>
    <w:rsid w:val="004C551B"/>
    <w:rsid w:val="004C7798"/>
    <w:rsid w:val="004E36C4"/>
    <w:rsid w:val="00511A4A"/>
    <w:rsid w:val="00565746"/>
    <w:rsid w:val="00594A10"/>
    <w:rsid w:val="005A1EBF"/>
    <w:rsid w:val="006777DF"/>
    <w:rsid w:val="006B27FB"/>
    <w:rsid w:val="006D390C"/>
    <w:rsid w:val="006D48A4"/>
    <w:rsid w:val="0070788D"/>
    <w:rsid w:val="00725C5F"/>
    <w:rsid w:val="00773292"/>
    <w:rsid w:val="007A5974"/>
    <w:rsid w:val="007B68F8"/>
    <w:rsid w:val="008209F0"/>
    <w:rsid w:val="008D101F"/>
    <w:rsid w:val="009203AA"/>
    <w:rsid w:val="00970E97"/>
    <w:rsid w:val="009E53D2"/>
    <w:rsid w:val="00A237B1"/>
    <w:rsid w:val="00A35AB3"/>
    <w:rsid w:val="00A80E88"/>
    <w:rsid w:val="00C5792C"/>
    <w:rsid w:val="00D50969"/>
    <w:rsid w:val="00E576FD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2D05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051A"/>
    <w:rPr>
      <w:sz w:val="24"/>
      <w:szCs w:val="24"/>
    </w:rPr>
  </w:style>
  <w:style w:type="paragraph" w:styleId="a7">
    <w:name w:val="footer"/>
    <w:basedOn w:val="a"/>
    <w:link w:val="a8"/>
    <w:rsid w:val="002D05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D0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85</TotalTime>
  <Pages>9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11</cp:revision>
  <cp:lastPrinted>2019-11-21T07:50:00Z</cp:lastPrinted>
  <dcterms:created xsi:type="dcterms:W3CDTF">2019-11-14T06:12:00Z</dcterms:created>
  <dcterms:modified xsi:type="dcterms:W3CDTF">2019-12-06T05:46:00Z</dcterms:modified>
</cp:coreProperties>
</file>