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B353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AB3536" w:rsidRDefault="00593420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досрочном прекращении полномочий члена</w:t>
      </w:r>
    </w:p>
    <w:p w:rsidR="00AB3536" w:rsidRDefault="00593420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Общественной палаты </w:t>
      </w:r>
      <w:r w:rsidRPr="00593420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</w:t>
      </w:r>
    </w:p>
    <w:p w:rsidR="00074049" w:rsidRPr="00A24BA1" w:rsidRDefault="00593420" w:rsidP="00074049">
      <w:pPr>
        <w:spacing w:line="360" w:lineRule="auto"/>
        <w:jc w:val="center"/>
        <w:rPr>
          <w:b/>
          <w:bCs/>
          <w:smallCaps/>
        </w:rPr>
      </w:pPr>
      <w:proofErr w:type="spellStart"/>
      <w:r>
        <w:rPr>
          <w:b/>
          <w:bCs/>
          <w:smallCaps/>
        </w:rPr>
        <w:t>Ханды</w:t>
      </w:r>
      <w:proofErr w:type="spellEnd"/>
      <w:r>
        <w:rPr>
          <w:b/>
          <w:bCs/>
          <w:smallCaps/>
        </w:rPr>
        <w:t xml:space="preserve"> Тимура Юрьевича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593420" w:rsidP="00074049">
      <w:pPr>
        <w:spacing w:line="360" w:lineRule="auto"/>
        <w:ind w:firstLine="709"/>
        <w:jc w:val="both"/>
        <w:rPr>
          <w:i/>
        </w:rPr>
      </w:pPr>
      <w:r>
        <w:t>В соответствии с</w:t>
      </w:r>
      <w:r w:rsidR="00821EF1">
        <w:t>о</w:t>
      </w:r>
      <w:r>
        <w:t xml:space="preserve"> </w:t>
      </w:r>
      <w:r w:rsidR="00821EF1">
        <w:t>статьей</w:t>
      </w:r>
      <w:r>
        <w:t xml:space="preserve"> 114.7 Регламента Государственного Собрания </w:t>
      </w:r>
      <w:r w:rsidR="00821EF1">
        <w:t xml:space="preserve">                           </w:t>
      </w:r>
      <w:r>
        <w:t xml:space="preserve">(Ил </w:t>
      </w:r>
      <w:proofErr w:type="spellStart"/>
      <w:r>
        <w:t>Тумэн</w:t>
      </w:r>
      <w:proofErr w:type="spellEnd"/>
      <w:r>
        <w:t xml:space="preserve">) Республики Саха (Якутия)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</w:t>
      </w:r>
      <w:r w:rsidR="00821EF1">
        <w:t xml:space="preserve">   </w:t>
      </w:r>
      <w:r w:rsidR="00074049">
        <w:t xml:space="preserve">  </w:t>
      </w:r>
      <w:r w:rsidR="00074049"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AB3536">
        <w:t xml:space="preserve">Прекратить досрочно полномочия члена Общественной палаты Республики Саха (Якутия) </w:t>
      </w:r>
      <w:proofErr w:type="spellStart"/>
      <w:r w:rsidR="00AB3536">
        <w:t>Ханды</w:t>
      </w:r>
      <w:proofErr w:type="spellEnd"/>
      <w:r w:rsidR="00AB3536">
        <w:t xml:space="preserve"> Тимура Юрьевича.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  <w:bookmarkStart w:id="0" w:name="_GoBack"/>
      <w:bookmarkEnd w:id="0"/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AB3536">
        <w:rPr>
          <w:i/>
        </w:rPr>
        <w:t>30 января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AB3536">
        <w:rPr>
          <w:i/>
        </w:rPr>
        <w:t>96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420"/>
    <w:rsid w:val="0003475D"/>
    <w:rsid w:val="00067523"/>
    <w:rsid w:val="00074049"/>
    <w:rsid w:val="001369BA"/>
    <w:rsid w:val="001D73C2"/>
    <w:rsid w:val="0026222D"/>
    <w:rsid w:val="004C7741"/>
    <w:rsid w:val="004C7798"/>
    <w:rsid w:val="00593420"/>
    <w:rsid w:val="005A1EBF"/>
    <w:rsid w:val="00637FFD"/>
    <w:rsid w:val="0070788D"/>
    <w:rsid w:val="007B68F8"/>
    <w:rsid w:val="008209F0"/>
    <w:rsid w:val="00821EF1"/>
    <w:rsid w:val="00A237B1"/>
    <w:rsid w:val="00A80E88"/>
    <w:rsid w:val="00AB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2019-01-31T05:52:00Z</cp:lastPrinted>
  <dcterms:created xsi:type="dcterms:W3CDTF">2019-01-31T05:18:00Z</dcterms:created>
  <dcterms:modified xsi:type="dcterms:W3CDTF">2019-01-31T05:52:00Z</dcterms:modified>
</cp:coreProperties>
</file>