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D6" w:rsidRDefault="000200D6" w:rsidP="000200D6">
      <w:pPr>
        <w:jc w:val="right"/>
      </w:pPr>
      <w:bookmarkStart w:id="0" w:name="_GoBack"/>
      <w:bookmarkEnd w:id="0"/>
      <w:r>
        <w:t>Вносится народным депутатом</w:t>
      </w:r>
    </w:p>
    <w:p w:rsidR="000200D6" w:rsidRDefault="000200D6" w:rsidP="000200D6">
      <w:pPr>
        <w:jc w:val="right"/>
      </w:pPr>
      <w:r>
        <w:t>Республики Саха (Якутия)</w:t>
      </w:r>
    </w:p>
    <w:p w:rsidR="000200D6" w:rsidRDefault="000200D6" w:rsidP="000200D6">
      <w:pPr>
        <w:jc w:val="right"/>
      </w:pPr>
      <w:proofErr w:type="spellStart"/>
      <w:r>
        <w:t>Я.А.Ефимовым</w:t>
      </w:r>
      <w:proofErr w:type="spellEnd"/>
    </w:p>
    <w:p w:rsidR="000200D6" w:rsidRDefault="000200D6" w:rsidP="000200D6">
      <w:pPr>
        <w:jc w:val="right"/>
      </w:pPr>
    </w:p>
    <w:p w:rsidR="000200D6" w:rsidRDefault="000200D6" w:rsidP="000200D6">
      <w:pPr>
        <w:jc w:val="right"/>
      </w:pPr>
      <w:r>
        <w:t>Проект</w:t>
      </w:r>
    </w:p>
    <w:p w:rsidR="000200D6" w:rsidRDefault="000200D6" w:rsidP="000200D6"/>
    <w:p w:rsidR="000200D6" w:rsidRDefault="000200D6" w:rsidP="000200D6"/>
    <w:p w:rsidR="000200D6" w:rsidRDefault="000200D6" w:rsidP="000200D6">
      <w:pPr>
        <w:ind w:firstLine="0"/>
        <w:jc w:val="center"/>
      </w:pPr>
      <w:r>
        <w:t>З А К О Н</w:t>
      </w:r>
    </w:p>
    <w:p w:rsidR="000200D6" w:rsidRDefault="000200D6" w:rsidP="000200D6">
      <w:pPr>
        <w:ind w:firstLine="0"/>
        <w:jc w:val="center"/>
      </w:pPr>
      <w:r>
        <w:t>РЕСПУБЛИКИ САХА (ЯКУТИЯ)</w:t>
      </w:r>
    </w:p>
    <w:p w:rsidR="000200D6" w:rsidRDefault="000200D6" w:rsidP="000200D6">
      <w:pPr>
        <w:ind w:firstLine="0"/>
        <w:jc w:val="center"/>
      </w:pPr>
    </w:p>
    <w:p w:rsidR="000200D6" w:rsidRPr="000200D6" w:rsidRDefault="000200D6" w:rsidP="000200D6">
      <w:pPr>
        <w:ind w:firstLine="0"/>
        <w:jc w:val="center"/>
        <w:rPr>
          <w:rFonts w:ascii="Times New Roman Полужирный" w:hAnsi="Times New Roman Полужирный"/>
          <w:b/>
          <w:smallCaps/>
        </w:rPr>
      </w:pPr>
      <w:r w:rsidRPr="000200D6">
        <w:rPr>
          <w:rFonts w:ascii="Times New Roman Полужирный" w:hAnsi="Times New Roman Полужирный"/>
          <w:b/>
          <w:smallCaps/>
        </w:rPr>
        <w:t xml:space="preserve">О внесении изменений в Закон Республики Саха (Якутия) </w:t>
      </w:r>
    </w:p>
    <w:p w:rsidR="000200D6" w:rsidRPr="000200D6" w:rsidRDefault="000200D6" w:rsidP="000200D6">
      <w:pPr>
        <w:ind w:firstLine="0"/>
        <w:jc w:val="center"/>
        <w:rPr>
          <w:rFonts w:ascii="Times New Roman Полужирный" w:hAnsi="Times New Roman Полужирный"/>
          <w:b/>
          <w:smallCaps/>
        </w:rPr>
      </w:pPr>
      <w:r w:rsidRPr="000200D6">
        <w:rPr>
          <w:rFonts w:ascii="Times New Roman Полужирный" w:hAnsi="Times New Roman Полужирный"/>
          <w:b/>
          <w:smallCaps/>
        </w:rPr>
        <w:t>«О градостроительной политике в Республике Саха (Якутия)»</w:t>
      </w:r>
    </w:p>
    <w:p w:rsidR="000200D6" w:rsidRDefault="000200D6" w:rsidP="000200D6"/>
    <w:p w:rsidR="000200D6" w:rsidRDefault="000200D6" w:rsidP="000200D6"/>
    <w:p w:rsidR="000200D6" w:rsidRPr="000200D6" w:rsidRDefault="000200D6" w:rsidP="000200D6">
      <w:pPr>
        <w:rPr>
          <w:b/>
          <w:i/>
        </w:rPr>
      </w:pPr>
      <w:r w:rsidRPr="000200D6">
        <w:rPr>
          <w:b/>
          <w:i/>
        </w:rPr>
        <w:t>Статья 1</w:t>
      </w:r>
    </w:p>
    <w:p w:rsidR="000200D6" w:rsidRDefault="000200D6" w:rsidP="000200D6">
      <w:r>
        <w:t>Внести в Закон Республики Саха (Якутия) от 29 декабря 2008 года 644-З № 181-IV «О градостроительной политике в Республике Саха (Якутия)» следующие изменения:</w:t>
      </w:r>
    </w:p>
    <w:p w:rsidR="000200D6" w:rsidRDefault="000200D6" w:rsidP="000200D6">
      <w:r>
        <w:t xml:space="preserve">1) в статье 1: </w:t>
      </w:r>
    </w:p>
    <w:p w:rsidR="000200D6" w:rsidRDefault="000200D6" w:rsidP="000200D6">
      <w:r>
        <w:t>а) пункт 3 изложить в следующей редакции:</w:t>
      </w:r>
    </w:p>
    <w:p w:rsidR="000200D6" w:rsidRDefault="000200D6" w:rsidP="000200D6">
      <w:r>
        <w:t xml:space="preserve">«3) зоны с особыми условиями использования территорий – охранные,  </w:t>
      </w:r>
      <w:r>
        <w:br/>
        <w:t xml:space="preserve">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t>водоохранные</w:t>
      </w:r>
      <w:proofErr w:type="spellEnd"/>
      <w:r>
        <w:t xml:space="preserve"> зоны, </w:t>
      </w:r>
      <w:r>
        <w:br/>
        <w:t xml:space="preserve">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приаэродромная</w:t>
      </w:r>
      <w:proofErr w:type="spellEnd"/>
      <w:r>
        <w:t xml:space="preserve"> территория, иные зоны, устанавливаемые в соответствии с законодательством Российской Федерации</w:t>
      </w:r>
      <w:r w:rsidR="00450C85">
        <w:t>;</w:t>
      </w:r>
      <w:r>
        <w:t>»;</w:t>
      </w:r>
    </w:p>
    <w:p w:rsidR="000200D6" w:rsidRDefault="000200D6" w:rsidP="000200D6">
      <w:r>
        <w:t>б) пункт 8 изложить в следующей редакции:</w:t>
      </w:r>
    </w:p>
    <w:p w:rsidR="000200D6" w:rsidRDefault="000200D6" w:rsidP="000200D6">
      <w:r>
        <w:t xml:space="preserve">«8) </w:t>
      </w:r>
      <w:proofErr w:type="spellStart"/>
      <w:r>
        <w:t>сайылык</w:t>
      </w:r>
      <w:proofErr w:type="spellEnd"/>
      <w:r>
        <w:t xml:space="preserve"> – форма традиционного сезонного ведения сельского хозяйства сельскохозяйственными товаропроизводителями в целях эффективного использования летнего сезона для повышения производства сельскохозяйственной продукции путем рационального использования сельскохозяйственных угодий и создания комплексной производственной и социальной инфраструктуры</w:t>
      </w:r>
      <w:r w:rsidR="00450C85">
        <w:t>;</w:t>
      </w:r>
      <w:r>
        <w:t>»;</w:t>
      </w:r>
    </w:p>
    <w:p w:rsidR="000200D6" w:rsidRDefault="000200D6" w:rsidP="000200D6">
      <w:r>
        <w:t>2) в статье 5:</w:t>
      </w:r>
    </w:p>
    <w:p w:rsidR="000200D6" w:rsidRDefault="000200D6" w:rsidP="000200D6">
      <w:r>
        <w:t>а) часть 1 дополнить пунктом 14.4 следующего содержания:</w:t>
      </w:r>
    </w:p>
    <w:p w:rsidR="000200D6" w:rsidRDefault="000200D6" w:rsidP="000200D6">
      <w:r>
        <w:lastRenderedPageBreak/>
        <w:t>«14.4</w:t>
      </w:r>
      <w:r w:rsidR="00450C85">
        <w:t>)</w:t>
      </w:r>
      <w:r>
        <w:t xml:space="preserve"> направление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в случаях, предусмотренных Градостроительным кодексом Российской Федерации;»;</w:t>
      </w:r>
    </w:p>
    <w:p w:rsidR="000200D6" w:rsidRDefault="000200D6" w:rsidP="000200D6">
      <w:r>
        <w:t xml:space="preserve">б) дополнить частью 2.1 следующего содержания: </w:t>
      </w:r>
    </w:p>
    <w:p w:rsidR="000200D6" w:rsidRDefault="000200D6" w:rsidP="000200D6">
      <w:r>
        <w:t>«2.1. Исполнительные органы государственной власти Республики Саха (Якутия) осуществляют контроль за соблюдением органами местного самоуправления законодательства о градостроительной деятельности в порядке, установленном законодательством Российской Федерации.»;</w:t>
      </w:r>
    </w:p>
    <w:p w:rsidR="000200D6" w:rsidRDefault="000200D6" w:rsidP="000200D6">
      <w:r>
        <w:t>в) пункт 3 части 3 статьи 5 признать утративш</w:t>
      </w:r>
      <w:r w:rsidR="00C21F49">
        <w:t>им</w:t>
      </w:r>
      <w:r>
        <w:t xml:space="preserve"> силу;</w:t>
      </w:r>
    </w:p>
    <w:p w:rsidR="000200D6" w:rsidRDefault="000200D6" w:rsidP="000200D6">
      <w:r>
        <w:t>3) часть 11 статьи 12 дополнить первым предложением следующего содержания</w:t>
      </w:r>
      <w:r w:rsidR="00C21F49">
        <w:t>:</w:t>
      </w:r>
      <w:r>
        <w:t xml:space="preserve"> «Проект схемы территориального планирования Республики Саха (Якутия) подлежит согласованию с уполномоченным федеральным органом исполнительной власти в части его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w:t>
      </w:r>
    </w:p>
    <w:p w:rsidR="000200D6" w:rsidRDefault="000200D6" w:rsidP="000200D6">
      <w:r>
        <w:t>4) статью 15 изложить в следующей редакции:</w:t>
      </w:r>
    </w:p>
    <w:p w:rsidR="000200D6" w:rsidRDefault="000200D6" w:rsidP="000200D6">
      <w:r>
        <w:t>«Статья 15. Территориальное планирование, осуществляемое органами</w:t>
      </w:r>
    </w:p>
    <w:p w:rsidR="000200D6" w:rsidRDefault="000200D6" w:rsidP="000200D6">
      <w:r>
        <w:t xml:space="preserve"> </w:t>
      </w:r>
      <w:r>
        <w:tab/>
        <w:t xml:space="preserve">         местного самоуправления муниципальных районов</w:t>
      </w:r>
    </w:p>
    <w:p w:rsidR="000200D6" w:rsidRDefault="000200D6" w:rsidP="000200D6">
      <w:r>
        <w:t>1.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Градостроительным кодексом Российской Федерации, законами и иными нормативными правовыми актами Республики Саха (Якутия), нормативными правовыми актами органов местного самоуправления.</w:t>
      </w:r>
    </w:p>
    <w:p w:rsidR="000200D6" w:rsidRDefault="000200D6" w:rsidP="000200D6">
      <w:r>
        <w:t>2.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0200D6" w:rsidRDefault="000200D6" w:rsidP="000200D6">
      <w:r>
        <w:t>3. Подготовка проекта схемы территориального планирования                      муниципального района осуществляется в соответствии с требованиями статьи 9 Градостроительного кодекса Российской Федерации и с учетом региональных и местных нормативов градостроительного проектирования, а также с учетом предложений заинтересованных лиц.</w:t>
      </w:r>
    </w:p>
    <w:p w:rsidR="000200D6" w:rsidRDefault="000200D6" w:rsidP="000200D6">
      <w:r>
        <w:lastRenderedPageBreak/>
        <w:t>4. Проект схемы территориального планирования муниципального района до ее утверждения подлежит в соответствии со статьей 21 Градостроительного кодекса Российской Федерации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rsidR="000200D6" w:rsidRDefault="000200D6" w:rsidP="000200D6">
      <w:r>
        <w:t>5. Заинтересованные лица вправе представить свои предложения по проекту схемы территориального планирования муниципального района.</w:t>
      </w:r>
    </w:p>
    <w:p w:rsidR="000200D6" w:rsidRDefault="000200D6" w:rsidP="000200D6">
      <w:r>
        <w:t>6.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0200D6" w:rsidRDefault="000200D6" w:rsidP="000200D6">
      <w:r>
        <w:t>7.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0200D6" w:rsidRDefault="000200D6" w:rsidP="000200D6">
      <w:r>
        <w:t>8.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статьями 9 и 21 Градостроительного кодекса Российской Федерации.»;</w:t>
      </w:r>
    </w:p>
    <w:p w:rsidR="000200D6" w:rsidRDefault="000200D6" w:rsidP="000200D6">
      <w:r>
        <w:t>5) в статье 16:</w:t>
      </w:r>
    </w:p>
    <w:p w:rsidR="000200D6" w:rsidRDefault="000200D6" w:rsidP="000200D6">
      <w:r>
        <w:t>а) часть 1 изложить в следующей редакции:</w:t>
      </w:r>
    </w:p>
    <w:p w:rsidR="000200D6" w:rsidRDefault="000200D6" w:rsidP="000200D6">
      <w:r>
        <w:t>«1. Схема территориального планирования муниципального района содержит:</w:t>
      </w:r>
    </w:p>
    <w:p w:rsidR="000200D6" w:rsidRDefault="000200D6" w:rsidP="000200D6">
      <w:r>
        <w:t>1) положение о территориальном планировании;</w:t>
      </w:r>
    </w:p>
    <w:p w:rsidR="000200D6" w:rsidRDefault="000200D6" w:rsidP="000200D6">
      <w:r>
        <w:t>2) карту планируемого размещения объектов местного значения муниципального района;</w:t>
      </w:r>
    </w:p>
    <w:p w:rsidR="000200D6" w:rsidRDefault="000200D6" w:rsidP="000200D6">
      <w:r>
        <w:t>3) карту границ населенных пунктов (в том числе границ образуемых населенных пунктов), расположенных на межселенных территориях;</w:t>
      </w:r>
    </w:p>
    <w:p w:rsidR="000200D6" w:rsidRDefault="000200D6" w:rsidP="000200D6">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0200D6" w:rsidRDefault="000200D6" w:rsidP="000200D6">
      <w:r>
        <w:t>б) дополнить частями 6.1 и 6.2 следующего содержания:</w:t>
      </w:r>
    </w:p>
    <w:p w:rsidR="000200D6" w:rsidRDefault="000200D6" w:rsidP="000200D6">
      <w:r>
        <w:lastRenderedPageBreak/>
        <w:t>«6.1</w:t>
      </w:r>
      <w:r w:rsidR="00450C85">
        <w:t>.</w:t>
      </w:r>
      <w:r>
        <w:t xml:space="preserve"> Материалы по обоснованию схемы территориального планирования муниципального района в текстовой форме содержат:</w:t>
      </w:r>
    </w:p>
    <w:p w:rsidR="000200D6" w:rsidRDefault="000200D6" w:rsidP="000200D6">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0200D6" w:rsidRDefault="000200D6" w:rsidP="000200D6">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200D6" w:rsidRDefault="000200D6" w:rsidP="000200D6">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0200D6" w:rsidRDefault="000200D6" w:rsidP="000200D6">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Республики Саха (Якутия)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0200D6" w:rsidRDefault="000200D6" w:rsidP="000200D6">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0200D6" w:rsidRDefault="000200D6" w:rsidP="000200D6">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0200D6" w:rsidRDefault="000200D6" w:rsidP="000200D6">
      <w:r>
        <w:t>6.2</w:t>
      </w:r>
      <w:r w:rsidR="00450C85">
        <w:t>.</w:t>
      </w:r>
      <w:r>
        <w:t xml:space="preserve"> Материалы по обоснованию схемы территориального планирования муниципального района в виде карт отображают:</w:t>
      </w:r>
    </w:p>
    <w:p w:rsidR="000200D6" w:rsidRDefault="000200D6" w:rsidP="000200D6">
      <w:r>
        <w:t>1) границы поселений, входящих в состав муниципального района;</w:t>
      </w:r>
    </w:p>
    <w:p w:rsidR="000200D6" w:rsidRDefault="000200D6" w:rsidP="000200D6">
      <w:r>
        <w:t>2) границы населенных пунктов, входящих в состав муниципального района;</w:t>
      </w:r>
    </w:p>
    <w:p w:rsidR="000200D6" w:rsidRDefault="000200D6" w:rsidP="000200D6">
      <w:r>
        <w:lastRenderedPageBreak/>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0200D6" w:rsidRDefault="000200D6" w:rsidP="000200D6">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Республики Саха (Якутия);</w:t>
      </w:r>
    </w:p>
    <w:p w:rsidR="000200D6" w:rsidRDefault="000200D6" w:rsidP="000200D6">
      <w:r>
        <w:t>б) особые экономические зоны;</w:t>
      </w:r>
    </w:p>
    <w:p w:rsidR="000200D6" w:rsidRDefault="000200D6" w:rsidP="000200D6">
      <w:r>
        <w:t>в) особо охраняемые природные территории федерального, регионального, местного значения;</w:t>
      </w:r>
    </w:p>
    <w:p w:rsidR="000200D6" w:rsidRDefault="000200D6" w:rsidP="000200D6">
      <w:r>
        <w:t>г) территории объектов культурного наследия;</w:t>
      </w:r>
    </w:p>
    <w:p w:rsidR="000200D6" w:rsidRDefault="000200D6" w:rsidP="000200D6">
      <w:r>
        <w:t>д) зоны с особыми условиями использования территорий;</w:t>
      </w:r>
    </w:p>
    <w:p w:rsidR="000200D6" w:rsidRDefault="000200D6" w:rsidP="000200D6">
      <w:r>
        <w:t>е) территории, подверженные риску возникновения чрезвычайных ситуаций природного и техногенного характера;</w:t>
      </w:r>
    </w:p>
    <w:p w:rsidR="000200D6" w:rsidRDefault="000200D6" w:rsidP="000200D6">
      <w:r>
        <w:t>ж) иные объекты, иные территории и (или) зоны;</w:t>
      </w:r>
    </w:p>
    <w:p w:rsidR="000200D6" w:rsidRDefault="000200D6" w:rsidP="000200D6">
      <w:r>
        <w:t>4) границы лесничеств, лесопарков.»</w:t>
      </w:r>
      <w:r w:rsidR="00450C85">
        <w:t>;</w:t>
      </w:r>
    </w:p>
    <w:p w:rsidR="000200D6" w:rsidRDefault="000200D6" w:rsidP="000200D6">
      <w:r>
        <w:t>6) подпункты 1 и 2 части 1 статьи 30 признать утратившими силу;</w:t>
      </w:r>
    </w:p>
    <w:p w:rsidR="000200D6" w:rsidRDefault="000200D6" w:rsidP="000200D6">
      <w:r>
        <w:t>7) в статье 32:</w:t>
      </w:r>
    </w:p>
    <w:p w:rsidR="000200D6" w:rsidRDefault="000200D6" w:rsidP="000200D6">
      <w:r>
        <w:t>а) част</w:t>
      </w:r>
      <w:r w:rsidR="00C21F49">
        <w:t>ь</w:t>
      </w:r>
      <w:r>
        <w:t xml:space="preserve"> 4 после слов «межевания территории»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0200D6" w:rsidRDefault="000200D6" w:rsidP="000200D6">
      <w:r>
        <w:t>б) часть 7 дополнить пунктом 5.1 следующего содержания:</w:t>
      </w:r>
    </w:p>
    <w:p w:rsidR="000200D6" w:rsidRDefault="000200D6" w:rsidP="000200D6">
      <w:r>
        <w:t xml:space="preserve">«5.1) проект организации дорожного движения в случаях, предусмотренных Федеральным законом </w:t>
      </w:r>
      <w:r w:rsidR="00C21F49">
        <w:t xml:space="preserve">от 29 декабря 2017 года № 443-ФЗ </w:t>
      </w:r>
      <w:r>
        <w:t>«Об организации дорожного движения в Российской Федерации и о внесении изменений в отдельные законодательные акты Российской Федерации</w:t>
      </w:r>
      <w:r w:rsidR="00774BCA">
        <w:t>»</w:t>
      </w:r>
      <w:r w:rsidR="00606430">
        <w:t>;</w:t>
      </w:r>
      <w:r>
        <w:t>»;</w:t>
      </w:r>
    </w:p>
    <w:p w:rsidR="000200D6" w:rsidRDefault="000200D6" w:rsidP="000200D6">
      <w:r>
        <w:t>в) в пункте 12 части 7.1 слова «объектов капитального строительства» заменить словами «, снос объектов капитального строительства, проведение работ по сохранению объектов культурного наследия»;</w:t>
      </w:r>
    </w:p>
    <w:p w:rsidR="000200D6" w:rsidRDefault="000200D6" w:rsidP="000200D6">
      <w:r>
        <w:t>г) часть 8 изложить в следующей редакции:</w:t>
      </w:r>
    </w:p>
    <w:p w:rsidR="000200D6" w:rsidRDefault="000200D6" w:rsidP="000200D6">
      <w:r>
        <w:t xml:space="preserve">«8.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w:t>
      </w:r>
      <w:r>
        <w:lastRenderedPageBreak/>
        <w:t>проектной документации применительно к объекту индивидуального жилищного строительства, садовому дому.»;</w:t>
      </w:r>
    </w:p>
    <w:p w:rsidR="000200D6" w:rsidRDefault="000200D6" w:rsidP="000200D6">
      <w:r>
        <w:t>д) дополнить частью 8.1 следующего содержания:</w:t>
      </w:r>
    </w:p>
    <w:p w:rsidR="000200D6" w:rsidRDefault="000200D6" w:rsidP="000200D6">
      <w:r>
        <w:t>«8.1. Положения части 8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0200D6" w:rsidRDefault="000200D6" w:rsidP="000200D6">
      <w:r>
        <w:t>8) в статье 33:</w:t>
      </w:r>
    </w:p>
    <w:p w:rsidR="000200D6" w:rsidRDefault="000200D6" w:rsidP="000200D6">
      <w:r>
        <w:t>а) часть 2.2 изложить в следующей редакции:</w:t>
      </w:r>
    </w:p>
    <w:p w:rsidR="000200D6" w:rsidRDefault="000200D6" w:rsidP="000200D6">
      <w:r>
        <w:t>«2.2. Проектная документация объектов капитального строительства, указанных в части 2 статьи 49 Градостроительного кодекса Российской Федерации, проектная документация, указанная в части 3 статьи 49 Градостроительного кодекса Российской Федерации, и результаты инженерных изысканий, выполненных для подготовки такой проектной документации:</w:t>
      </w:r>
    </w:p>
    <w:p w:rsidR="000200D6" w:rsidRDefault="000200D6" w:rsidP="000200D6">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Градостроительного кодекса Российской Федерации подлежит проверке на предмет достоверности ее определения;</w:t>
      </w:r>
    </w:p>
    <w:p w:rsidR="000200D6" w:rsidRDefault="000200D6" w:rsidP="000200D6">
      <w:r>
        <w:t>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пункте 1 настоящей части.</w:t>
      </w:r>
    </w:p>
    <w:p w:rsidR="000200D6" w:rsidRDefault="000200D6" w:rsidP="000200D6">
      <w:r>
        <w:t xml:space="preserve">Проектная документация всех объектов, указанных в пункте 5.1 статьи 6 Градостроительного кодекса Российской Федерации, объектов, сметная стоимость строительства, реконструкции, капитального ремонта которых в соответствии с требованиями Градостроительного кодекса Российской Федерации подлежит проверке на предмет достоверности ее определения, объектов (за исключением объектов, указанных в частях 2 и 3 статьи 49 Градостроительного кодекса Российской Федерации), строительство, реконструкция которых планируются в границах зон с особыми условиями использования территорий, режим которых предусматривает ограничение размещения объектов капитального строительства исходя из оценки их влияния на объект, территорию, в целях охраны которых установлена зона с особыми условиями использования территории, или исходя из оценки влияния объекта, территории, в целях охраны которых установлена зона с особыми условиями использования территории,                    на размещаемый объект капитального строительства, объектов культурного наследия регионального и местного значения (в случае, если при проведении работ по сохранению </w:t>
      </w:r>
      <w:r>
        <w:lastRenderedPageBreak/>
        <w:t>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и проектная документация объектов, строительство, реконструкцию которых предполагается осуществлять в границах особо охраняемых природных территорий, объектов, используемых для размещения и (или) обезвреживания                  отходов I–V классов опасности, подлежат государственной экспертизе</w:t>
      </w:r>
      <w:r w:rsidR="00606430">
        <w:t>.</w:t>
      </w:r>
      <w:r>
        <w:t>»;</w:t>
      </w:r>
    </w:p>
    <w:p w:rsidR="000200D6" w:rsidRDefault="000200D6" w:rsidP="000200D6">
      <w:r>
        <w:t>б) дополнить частью 2.3 следующего содержания:</w:t>
      </w:r>
    </w:p>
    <w:p w:rsidR="000200D6" w:rsidRDefault="000200D6" w:rsidP="000200D6">
      <w:r>
        <w:t>«2.3</w:t>
      </w:r>
      <w:r w:rsidR="00606430">
        <w:t>.</w:t>
      </w:r>
      <w:r>
        <w:t xml:space="preserve">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Республики Саха (Якутия),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t>Росатом</w:t>
      </w:r>
      <w:proofErr w:type="spellEnd"/>
      <w:r>
        <w:t>»</w:t>
      </w:r>
      <w:r w:rsidR="00606430">
        <w:t>.</w:t>
      </w:r>
      <w:r>
        <w:t>»;</w:t>
      </w:r>
    </w:p>
    <w:p w:rsidR="000200D6" w:rsidRDefault="000200D6" w:rsidP="000200D6">
      <w:r>
        <w:t xml:space="preserve">9) часть 3 статьи 34 изложить в следующей редакции: </w:t>
      </w:r>
    </w:p>
    <w:p w:rsidR="000200D6" w:rsidRDefault="00984856" w:rsidP="000200D6">
      <w:r>
        <w:t>«</w:t>
      </w:r>
      <w:r w:rsidR="000200D6">
        <w:t>3. Уполномоченные на выдачу разрешений на строительство федеральный орган исполнительной власти, орган исполнительной власти Республики Саха (Якутия), орган местного самоуправления, Государственная корпорация по атомной энергии «</w:t>
      </w:r>
      <w:proofErr w:type="spellStart"/>
      <w:r w:rsidR="000200D6">
        <w:t>Росатом</w:t>
      </w:r>
      <w:proofErr w:type="spellEnd"/>
      <w:r w:rsidR="000200D6">
        <w:t>» или Государственная корпорация по космической деятельности «</w:t>
      </w:r>
      <w:proofErr w:type="spellStart"/>
      <w:r w:rsidR="000200D6">
        <w:t>Роскосмос</w:t>
      </w:r>
      <w:proofErr w:type="spellEnd"/>
      <w:r w:rsidR="000200D6">
        <w:t xml:space="preserve">» отказывают в выдаче разрешения на строительство при отсутствии документов, предусмотренных частью 7 статьи 51 Градостроительного кодекса Российской Федерации,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7.1 статьи 51 Градостроительного кодекса Российской Федерации, не может </w:t>
      </w:r>
      <w:r w:rsidR="000200D6">
        <w:lastRenderedPageBreak/>
        <w:t>являться основанием для отказа в выдаче разрешения на строительство. В случае, предусмотренном частью 11.1 статьи 51 Градостроительного кодекса Российской Федерации, основанием для отказа в выдаче разрешения на строительство является также поступившее от органа исполнительной власти Республики Саха (Якутия),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200D6" w:rsidRDefault="000200D6" w:rsidP="000200D6">
      <w:r>
        <w:t xml:space="preserve">10) в части 3 статьи 39: </w:t>
      </w:r>
    </w:p>
    <w:p w:rsidR="000200D6" w:rsidRDefault="000200D6" w:rsidP="000200D6">
      <w:r>
        <w:t>а) в абзаце первом слова «либо является проектной документацией повторного применения» исключить;</w:t>
      </w:r>
    </w:p>
    <w:p w:rsidR="000200D6" w:rsidRDefault="000200D6" w:rsidP="000200D6">
      <w:r>
        <w:t xml:space="preserve">б) в пункте 2 слова «со статьей 34 настоящего закона» заменить словами                             «со статьей 54 Градостроительного кодекса Российской Федерации».   </w:t>
      </w:r>
      <w:r>
        <w:tab/>
      </w:r>
    </w:p>
    <w:p w:rsidR="000200D6" w:rsidRDefault="000200D6" w:rsidP="000200D6">
      <w:r>
        <w:t>11) статью 42 изложить в следующей редакции:</w:t>
      </w:r>
    </w:p>
    <w:p w:rsidR="000200D6" w:rsidRDefault="000200D6" w:rsidP="000200D6">
      <w:r>
        <w:t>«Статья 42. Консервация объекта капитального ремонта</w:t>
      </w:r>
    </w:p>
    <w:p w:rsidR="000200D6" w:rsidRDefault="000200D6" w:rsidP="000200D6">
      <w:r>
        <w:t>Порядок проведения консервации объекта капитального строительства, а также особенности принятия решения о консервации объекта капитального строительства устанавливаются постановлением Правительства Российской Федерации от 30 сентября 2011 года № 802 «Об утверждении Правил проведения консервации объекта капитального строительства</w:t>
      </w:r>
      <w:r w:rsidR="00C21F49">
        <w:t>»</w:t>
      </w:r>
      <w:r w:rsidR="00606430">
        <w:t>.</w:t>
      </w:r>
      <w:r w:rsidR="00C21F49">
        <w:t>»;</w:t>
      </w:r>
    </w:p>
    <w:p w:rsidR="000200D6" w:rsidRDefault="000200D6" w:rsidP="000200D6">
      <w:r>
        <w:t>12) статью 43 признать утратившей силу</w:t>
      </w:r>
      <w:r w:rsidR="00C21F49">
        <w:t>;</w:t>
      </w:r>
    </w:p>
    <w:p w:rsidR="000200D6" w:rsidRDefault="000200D6" w:rsidP="000200D6">
      <w:r>
        <w:t>13) часть 4 статьи 45 изложить в следующей редакции:</w:t>
      </w:r>
    </w:p>
    <w:p w:rsidR="000200D6" w:rsidRDefault="000200D6" w:rsidP="000200D6">
      <w:r>
        <w:t>«4. Порядок изъятия объекта незавершенного строительства проводится в соответствии со статьей 239.1 Гражданского кодекса Российской Федерации.</w:t>
      </w:r>
      <w:r w:rsidR="00450C85">
        <w:t>»;</w:t>
      </w:r>
    </w:p>
    <w:p w:rsidR="000200D6" w:rsidRDefault="000200D6" w:rsidP="000200D6">
      <w:r>
        <w:t>14) в части 1 статьи 49 слова «объектов местного значения и о» заменить словами  «объектов местного значения, подлежащих в соответствии с Градостроительным кодексом Российской Федерации отображению в документах территориального планирования, и о».</w:t>
      </w:r>
    </w:p>
    <w:p w:rsidR="000200D6" w:rsidRDefault="000200D6" w:rsidP="000200D6"/>
    <w:p w:rsidR="000200D6" w:rsidRPr="000200D6" w:rsidRDefault="000200D6" w:rsidP="000200D6">
      <w:pPr>
        <w:rPr>
          <w:b/>
          <w:i/>
        </w:rPr>
      </w:pPr>
      <w:r w:rsidRPr="000200D6">
        <w:rPr>
          <w:b/>
          <w:i/>
        </w:rPr>
        <w:t>Статья 2</w:t>
      </w:r>
    </w:p>
    <w:p w:rsidR="00DE4646" w:rsidRDefault="000200D6" w:rsidP="000200D6">
      <w:r>
        <w:t>Настоящий Закон вступает в силу после дня его официального опубликования.</w:t>
      </w:r>
    </w:p>
    <w:sectPr w:rsidR="00DE4646" w:rsidSect="000200D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B64" w:rsidRDefault="00D30B64" w:rsidP="000200D6">
      <w:pPr>
        <w:spacing w:line="240" w:lineRule="auto"/>
      </w:pPr>
      <w:r>
        <w:separator/>
      </w:r>
    </w:p>
  </w:endnote>
  <w:endnote w:type="continuationSeparator" w:id="0">
    <w:p w:rsidR="00D30B64" w:rsidRDefault="00D30B64" w:rsidP="00020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B64" w:rsidRDefault="00D30B64" w:rsidP="000200D6">
      <w:pPr>
        <w:spacing w:line="240" w:lineRule="auto"/>
      </w:pPr>
      <w:r>
        <w:separator/>
      </w:r>
    </w:p>
  </w:footnote>
  <w:footnote w:type="continuationSeparator" w:id="0">
    <w:p w:rsidR="00D30B64" w:rsidRDefault="00D30B64" w:rsidP="000200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147494"/>
      <w:docPartObj>
        <w:docPartGallery w:val="Page Numbers (Top of Page)"/>
        <w:docPartUnique/>
      </w:docPartObj>
    </w:sdtPr>
    <w:sdtEndPr/>
    <w:sdtContent>
      <w:p w:rsidR="000200D6" w:rsidRDefault="000200D6" w:rsidP="000200D6">
        <w:pPr>
          <w:pStyle w:val="a3"/>
          <w:ind w:firstLine="0"/>
          <w:jc w:val="center"/>
        </w:pPr>
        <w:r>
          <w:fldChar w:fldCharType="begin"/>
        </w:r>
        <w:r>
          <w:instrText>PAGE   \* MERGEFORMAT</w:instrText>
        </w:r>
        <w:r>
          <w:fldChar w:fldCharType="separate"/>
        </w:r>
        <w:r w:rsidR="00784734">
          <w:rPr>
            <w:noProof/>
          </w:rPr>
          <w:t>8</w:t>
        </w:r>
        <w:r>
          <w:fldChar w:fldCharType="end"/>
        </w:r>
      </w:p>
    </w:sdtContent>
  </w:sdt>
  <w:p w:rsidR="000200D6" w:rsidRDefault="000200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7"/>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D6"/>
    <w:rsid w:val="000200D6"/>
    <w:rsid w:val="00124558"/>
    <w:rsid w:val="00450C85"/>
    <w:rsid w:val="00503FB0"/>
    <w:rsid w:val="00606430"/>
    <w:rsid w:val="00774BCA"/>
    <w:rsid w:val="00784734"/>
    <w:rsid w:val="008E07B6"/>
    <w:rsid w:val="00984856"/>
    <w:rsid w:val="009F1294"/>
    <w:rsid w:val="00C21F49"/>
    <w:rsid w:val="00D30B64"/>
    <w:rsid w:val="00DE4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58"/>
    <w:pPr>
      <w:spacing w:after="0" w:line="360" w:lineRule="auto"/>
      <w:ind w:firstLine="709"/>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0D6"/>
    <w:pPr>
      <w:tabs>
        <w:tab w:val="center" w:pos="4677"/>
        <w:tab w:val="right" w:pos="9355"/>
      </w:tabs>
      <w:spacing w:line="240" w:lineRule="auto"/>
    </w:pPr>
  </w:style>
  <w:style w:type="character" w:customStyle="1" w:styleId="a4">
    <w:name w:val="Верхний колонтитул Знак"/>
    <w:basedOn w:val="a0"/>
    <w:link w:val="a3"/>
    <w:uiPriority w:val="99"/>
    <w:rsid w:val="000200D6"/>
    <w:rPr>
      <w:rFonts w:ascii="Times New Roman" w:hAnsi="Times New Roman" w:cs="Times New Roman"/>
      <w:sz w:val="24"/>
    </w:rPr>
  </w:style>
  <w:style w:type="paragraph" w:styleId="a5">
    <w:name w:val="footer"/>
    <w:basedOn w:val="a"/>
    <w:link w:val="a6"/>
    <w:uiPriority w:val="99"/>
    <w:unhideWhenUsed/>
    <w:rsid w:val="000200D6"/>
    <w:pPr>
      <w:tabs>
        <w:tab w:val="center" w:pos="4677"/>
        <w:tab w:val="right" w:pos="9355"/>
      </w:tabs>
      <w:spacing w:line="240" w:lineRule="auto"/>
    </w:pPr>
  </w:style>
  <w:style w:type="character" w:customStyle="1" w:styleId="a6">
    <w:name w:val="Нижний колонтитул Знак"/>
    <w:basedOn w:val="a0"/>
    <w:link w:val="a5"/>
    <w:uiPriority w:val="99"/>
    <w:rsid w:val="000200D6"/>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58"/>
    <w:pPr>
      <w:spacing w:after="0" w:line="360" w:lineRule="auto"/>
      <w:ind w:firstLine="709"/>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0D6"/>
    <w:pPr>
      <w:tabs>
        <w:tab w:val="center" w:pos="4677"/>
        <w:tab w:val="right" w:pos="9355"/>
      </w:tabs>
      <w:spacing w:line="240" w:lineRule="auto"/>
    </w:pPr>
  </w:style>
  <w:style w:type="character" w:customStyle="1" w:styleId="a4">
    <w:name w:val="Верхний колонтитул Знак"/>
    <w:basedOn w:val="a0"/>
    <w:link w:val="a3"/>
    <w:uiPriority w:val="99"/>
    <w:rsid w:val="000200D6"/>
    <w:rPr>
      <w:rFonts w:ascii="Times New Roman" w:hAnsi="Times New Roman" w:cs="Times New Roman"/>
      <w:sz w:val="24"/>
    </w:rPr>
  </w:style>
  <w:style w:type="paragraph" w:styleId="a5">
    <w:name w:val="footer"/>
    <w:basedOn w:val="a"/>
    <w:link w:val="a6"/>
    <w:uiPriority w:val="99"/>
    <w:unhideWhenUsed/>
    <w:rsid w:val="000200D6"/>
    <w:pPr>
      <w:tabs>
        <w:tab w:val="center" w:pos="4677"/>
        <w:tab w:val="right" w:pos="9355"/>
      </w:tabs>
      <w:spacing w:line="240" w:lineRule="auto"/>
    </w:pPr>
  </w:style>
  <w:style w:type="character" w:customStyle="1" w:styleId="a6">
    <w:name w:val="Нижний колонтитул Знак"/>
    <w:basedOn w:val="a0"/>
    <w:link w:val="a5"/>
    <w:uiPriority w:val="99"/>
    <w:rsid w:val="000200D6"/>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2618</Words>
  <Characters>14928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 Айталина Егоровна</dc:creator>
  <cp:lastModifiedBy>Александрова Айталина Егоровна</cp:lastModifiedBy>
  <cp:revision>2</cp:revision>
  <dcterms:created xsi:type="dcterms:W3CDTF">2019-06-23T02:36:00Z</dcterms:created>
  <dcterms:modified xsi:type="dcterms:W3CDTF">2019-06-23T02:36:00Z</dcterms:modified>
</cp:coreProperties>
</file>