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04845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640" cy="675640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E032D0" w:rsidRPr="00E032D0" w:rsidRDefault="00E032D0" w:rsidP="00E032D0">
      <w:pPr>
        <w:spacing w:line="360" w:lineRule="auto"/>
        <w:jc w:val="center"/>
        <w:rPr>
          <w:b/>
          <w:bCs/>
          <w:smallCaps/>
        </w:rPr>
      </w:pPr>
      <w:r w:rsidRPr="00E032D0">
        <w:rPr>
          <w:b/>
          <w:bCs/>
          <w:smallCaps/>
        </w:rPr>
        <w:t>Об отчете о деятельности Счетной палаты</w:t>
      </w:r>
    </w:p>
    <w:p w:rsidR="00E032D0" w:rsidRPr="00E032D0" w:rsidRDefault="00E032D0" w:rsidP="00E032D0">
      <w:pPr>
        <w:spacing w:line="360" w:lineRule="auto"/>
        <w:jc w:val="center"/>
        <w:rPr>
          <w:b/>
          <w:bCs/>
          <w:smallCaps/>
        </w:rPr>
      </w:pPr>
      <w:r w:rsidRPr="00E032D0">
        <w:rPr>
          <w:b/>
          <w:bCs/>
          <w:smallCaps/>
        </w:rPr>
        <w:t>Республики Саха (Якутия) за 2018 год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E032D0" w:rsidRPr="00E032D0" w:rsidRDefault="00E032D0" w:rsidP="00DE54D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E032D0">
        <w:t xml:space="preserve">Рассмотрев отчет о деятельности Счетной палаты Республики Саха (Якутия) </w:t>
      </w:r>
      <w:r>
        <w:t xml:space="preserve">                      </w:t>
      </w:r>
      <w:r w:rsidRPr="00E032D0">
        <w:t xml:space="preserve">за 2018 год, представленный в соответствии с Законом Республики Саха (Якутия) </w:t>
      </w:r>
      <w:r>
        <w:t xml:space="preserve">                           </w:t>
      </w:r>
      <w:r w:rsidRPr="00E032D0">
        <w:t>от 10 ноября 2011 года 976-З №</w:t>
      </w:r>
      <w:r>
        <w:t xml:space="preserve"> </w:t>
      </w:r>
      <w:r w:rsidRPr="00E032D0">
        <w:t>837-</w:t>
      </w:r>
      <w:r w:rsidRPr="00E032D0">
        <w:rPr>
          <w:lang w:val="en-US"/>
        </w:rPr>
        <w:t>IV</w:t>
      </w:r>
      <w:r>
        <w:t xml:space="preserve"> </w:t>
      </w:r>
      <w:r w:rsidRPr="00E032D0">
        <w:t xml:space="preserve">«О Счетной палате Республики Саха (Якутия)», Государственное Собрание (Ил </w:t>
      </w:r>
      <w:proofErr w:type="spellStart"/>
      <w:r w:rsidRPr="00E032D0">
        <w:t>Тумэн</w:t>
      </w:r>
      <w:proofErr w:type="spellEnd"/>
      <w:r w:rsidRPr="00E032D0">
        <w:t>) Республики Саха (Якутия) отмечает положительные результаты деятельности Счетной палаты</w:t>
      </w:r>
      <w:r w:rsidR="00DE54D3">
        <w:t xml:space="preserve"> </w:t>
      </w:r>
      <w:r w:rsidR="00DE54D3" w:rsidRPr="00E032D0">
        <w:t>Республики Саха (Якутия)</w:t>
      </w:r>
      <w:r w:rsidRPr="00E032D0">
        <w:t xml:space="preserve">, направленной на установление </w:t>
      </w:r>
      <w:r w:rsidR="00DE54D3">
        <w:t>контроля за законностью использования бюджетных средств</w:t>
      </w:r>
      <w:r w:rsidRPr="00E032D0">
        <w:t>, достоверност</w:t>
      </w:r>
      <w:r w:rsidR="00DE54D3">
        <w:t>ью</w:t>
      </w:r>
      <w:r w:rsidRPr="00E032D0">
        <w:t xml:space="preserve"> </w:t>
      </w:r>
      <w:r w:rsidR="00DE54D3">
        <w:t xml:space="preserve">бюджетной отчетности и соответствием порядка ведения бюджетного учета методологии и стандартам бюджетного учета, </w:t>
      </w:r>
      <w:r w:rsidRPr="00E032D0">
        <w:t>обоснованность</w:t>
      </w:r>
      <w:r w:rsidR="00DE54D3">
        <w:t>ю</w:t>
      </w:r>
      <w:r w:rsidRPr="00E032D0">
        <w:t xml:space="preserve"> формирования и результативност</w:t>
      </w:r>
      <w:r w:rsidR="00DE54D3">
        <w:t>ью</w:t>
      </w:r>
      <w:r w:rsidRPr="00E032D0">
        <w:t xml:space="preserve"> исполнения государственного бюджета Республики Саха (Якутия), </w:t>
      </w:r>
      <w:r w:rsidR="00DE54D3">
        <w:t xml:space="preserve">а также соблюдением установленного порядка </w:t>
      </w:r>
      <w:r w:rsidRPr="00E032D0">
        <w:t>управления и распоряжения имуществом</w:t>
      </w:r>
      <w:r w:rsidR="00DE54D3">
        <w:t>, находящимся в государственной собственности Республики Саха (Якутия)</w:t>
      </w:r>
      <w:r w:rsidRPr="00E032D0">
        <w:t>.</w:t>
      </w:r>
    </w:p>
    <w:p w:rsidR="00074049" w:rsidRPr="00D71F31" w:rsidRDefault="00E032D0" w:rsidP="00E032D0">
      <w:pPr>
        <w:spacing w:line="360" w:lineRule="auto"/>
        <w:ind w:firstLine="709"/>
        <w:jc w:val="both"/>
        <w:rPr>
          <w:i/>
        </w:rPr>
      </w:pPr>
      <w:r w:rsidRPr="00E032D0">
        <w:t xml:space="preserve">По итогам обсуждения отчета о деятельности Счетной палаты Республики Саха (Якутия) за 2018 год </w:t>
      </w:r>
      <w:r w:rsidR="00074049">
        <w:t xml:space="preserve">Государственное Собрание (Ил </w:t>
      </w:r>
      <w:proofErr w:type="spellStart"/>
      <w:r w:rsidR="00074049">
        <w:t>Тумэн</w:t>
      </w:r>
      <w:proofErr w:type="spellEnd"/>
      <w:r w:rsidR="00074049">
        <w:t xml:space="preserve">) Республики Саха (Якутия)                                      </w:t>
      </w:r>
      <w:r w:rsidR="00074049" w:rsidRPr="00D71F31">
        <w:rPr>
          <w:i/>
        </w:rPr>
        <w:t>п о с т а н о в л я е т:</w:t>
      </w:r>
    </w:p>
    <w:p w:rsidR="00E032D0" w:rsidRPr="00E032D0" w:rsidRDefault="00074049" w:rsidP="00E032D0">
      <w:pPr>
        <w:spacing w:line="360" w:lineRule="auto"/>
        <w:ind w:firstLine="709"/>
        <w:jc w:val="both"/>
      </w:pPr>
      <w:r>
        <w:t xml:space="preserve">1. </w:t>
      </w:r>
      <w:r w:rsidR="00E032D0" w:rsidRPr="00E032D0">
        <w:t>Принять к сведению отчет о деятельности Счетной палаты Республики Саха (Якутия) за 2018 год.</w:t>
      </w:r>
    </w:p>
    <w:p w:rsidR="00804845" w:rsidRDefault="00E032D0" w:rsidP="00E032D0">
      <w:pPr>
        <w:spacing w:line="360" w:lineRule="auto"/>
        <w:ind w:firstLine="709"/>
        <w:jc w:val="both"/>
      </w:pPr>
      <w:r>
        <w:t xml:space="preserve">2. </w:t>
      </w:r>
      <w:r w:rsidRPr="00E032D0">
        <w:t xml:space="preserve">Рекомендовать постоянным комитетам Государственного Собрания (Ил </w:t>
      </w:r>
      <w:proofErr w:type="spellStart"/>
      <w:r w:rsidRPr="00E032D0">
        <w:t>Тумэн</w:t>
      </w:r>
      <w:proofErr w:type="spellEnd"/>
      <w:r w:rsidRPr="00E032D0">
        <w:t xml:space="preserve">) Республики Саха (Якутия) продолжить практику рассмотрения на </w:t>
      </w:r>
      <w:r w:rsidR="00DE54D3">
        <w:t xml:space="preserve">своих </w:t>
      </w:r>
      <w:r w:rsidRPr="00E032D0">
        <w:t>заседаниях с участием аудиторов Счетной палаты Республики Саха (Якутия)</w:t>
      </w:r>
      <w:r w:rsidR="00804845">
        <w:t>:</w:t>
      </w:r>
    </w:p>
    <w:p w:rsidR="00804845" w:rsidRDefault="00804845" w:rsidP="00E032D0">
      <w:pPr>
        <w:spacing w:line="360" w:lineRule="auto"/>
        <w:ind w:firstLine="709"/>
        <w:jc w:val="both"/>
      </w:pPr>
      <w:r>
        <w:t>1)</w:t>
      </w:r>
      <w:r w:rsidR="00E032D0" w:rsidRPr="00E032D0">
        <w:t xml:space="preserve"> отчетов о результатах контрольных и экспертно-аналитических мероприятий, проведенных по поручениям Государственного Собрания (Ил </w:t>
      </w:r>
      <w:proofErr w:type="spellStart"/>
      <w:r w:rsidR="00E032D0" w:rsidRPr="00E032D0">
        <w:t>Тумэн</w:t>
      </w:r>
      <w:proofErr w:type="spellEnd"/>
      <w:r w:rsidR="00E032D0" w:rsidRPr="00E032D0">
        <w:t>) Республики Саха (Якутия)</w:t>
      </w:r>
      <w:r>
        <w:t>;</w:t>
      </w:r>
    </w:p>
    <w:p w:rsidR="00804845" w:rsidRPr="00804845" w:rsidRDefault="00804845" w:rsidP="0080484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04845">
        <w:t>2)</w:t>
      </w:r>
      <w:r w:rsidR="00E032D0" w:rsidRPr="00804845">
        <w:t xml:space="preserve"> </w:t>
      </w:r>
      <w:r w:rsidRPr="00804845">
        <w:t xml:space="preserve">информации об исполнении представлений Счетной палаты Республики Саха (Якутия) о принятии мер по устранению нарушений и недостатков, выявленных в ходе проведения мероприятий, указанных в </w:t>
      </w:r>
      <w:hyperlink r:id="rId9" w:history="1">
        <w:r w:rsidRPr="00804845">
          <w:t>подпункте 1</w:t>
        </w:r>
      </w:hyperlink>
      <w:r w:rsidRPr="00804845">
        <w:t xml:space="preserve"> настоящего пункта.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lastRenderedPageBreak/>
        <w:t>3. Поручить Счетной палате Республики Саха (Якутия) (</w:t>
      </w:r>
      <w:proofErr w:type="spellStart"/>
      <w:r w:rsidRPr="00E032D0">
        <w:t>Е.Е.Марков</w:t>
      </w:r>
      <w:proofErr w:type="spellEnd"/>
      <w:r w:rsidRPr="00E032D0">
        <w:t>):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1</w:t>
      </w:r>
      <w:r>
        <w:t>)</w:t>
      </w:r>
      <w:r w:rsidRPr="00E032D0">
        <w:t xml:space="preserve"> </w:t>
      </w:r>
      <w:r w:rsidRPr="00E032D0">
        <w:rPr>
          <w:lang w:val="x-none"/>
        </w:rPr>
        <w:t>продолжить работу по оценке эффективности предоставления налоговых льгот, анализу закупок</w:t>
      </w:r>
      <w:r w:rsidR="00804845">
        <w:t xml:space="preserve"> товаров, работ и услуг</w:t>
      </w:r>
      <w:r w:rsidRPr="00E032D0">
        <w:rPr>
          <w:lang w:val="x-none"/>
        </w:rPr>
        <w:t xml:space="preserve"> для государственных нужд</w:t>
      </w:r>
      <w:r w:rsidRPr="00E032D0">
        <w:t xml:space="preserve"> Республики Саха (Якутия)</w:t>
      </w:r>
      <w:r w:rsidRPr="00E032D0">
        <w:rPr>
          <w:lang w:val="x-none"/>
        </w:rPr>
        <w:t xml:space="preserve">, </w:t>
      </w:r>
      <w:r w:rsidRPr="00E032D0">
        <w:t xml:space="preserve">а также </w:t>
      </w:r>
      <w:r w:rsidRPr="00E032D0">
        <w:rPr>
          <w:lang w:val="x-none"/>
        </w:rPr>
        <w:t xml:space="preserve">контролю </w:t>
      </w:r>
      <w:r w:rsidRPr="00E032D0">
        <w:t>за расходованием бюджетных ассигнований</w:t>
      </w:r>
      <w:r w:rsidRPr="00E032D0">
        <w:rPr>
          <w:lang w:val="x-none"/>
        </w:rPr>
        <w:t xml:space="preserve">, предусмотренных </w:t>
      </w:r>
      <w:r w:rsidR="00804845">
        <w:t>на</w:t>
      </w:r>
      <w:r w:rsidRPr="00E032D0">
        <w:rPr>
          <w:lang w:val="x-none"/>
        </w:rPr>
        <w:t xml:space="preserve"> </w:t>
      </w:r>
      <w:r w:rsidR="00804845">
        <w:t xml:space="preserve">реализацию </w:t>
      </w:r>
      <w:r w:rsidRPr="00E032D0">
        <w:rPr>
          <w:lang w:val="x-none"/>
        </w:rPr>
        <w:t>Инвестиционной программы Республики Саха (Якутия</w:t>
      </w:r>
      <w:r w:rsidRPr="00E032D0">
        <w:t xml:space="preserve">); 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2</w:t>
      </w:r>
      <w:r>
        <w:t>)</w:t>
      </w:r>
      <w:r w:rsidRPr="00E032D0">
        <w:t xml:space="preserve"> осуществлять анализ реализации на территории Республики Саха (Якутия) национальных проектов (программ), разработанных в соответствии </w:t>
      </w:r>
      <w:r w:rsidR="006167EA">
        <w:t xml:space="preserve">с </w:t>
      </w:r>
      <w:r w:rsidRPr="00E032D0">
        <w:t xml:space="preserve">Указом Президента </w:t>
      </w:r>
      <w:r>
        <w:t>Российской Федерации</w:t>
      </w:r>
      <w:r w:rsidRPr="00E032D0">
        <w:t xml:space="preserve"> от 7</w:t>
      </w:r>
      <w:r>
        <w:t xml:space="preserve"> мая 2018 года </w:t>
      </w:r>
      <w:r w:rsidRPr="00E032D0">
        <w:t xml:space="preserve">№ 204 «О национальных целях и стратегических задачах развития </w:t>
      </w:r>
      <w:r>
        <w:t>Российской Федерации</w:t>
      </w:r>
      <w:r w:rsidRPr="00E032D0">
        <w:t xml:space="preserve"> на период до 2024 года»,</w:t>
      </w:r>
      <w:r w:rsidR="00BB2628">
        <w:t xml:space="preserve">                            </w:t>
      </w:r>
      <w:r w:rsidRPr="00E032D0">
        <w:t>в рамках ежеквартального анализа исполнения государственного бюджета Республики Саха (Якутия);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3</w:t>
      </w:r>
      <w:r>
        <w:t>)</w:t>
      </w:r>
      <w:r w:rsidRPr="00E032D0">
        <w:t xml:space="preserve"> продолжить работу по дальнейшему совершенствованию методологического обеспечения деятельности Счетной палаты Республики Саха (Якутия).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4. Рекомендовать Правительству Республики Саха (Якутия) (</w:t>
      </w:r>
      <w:proofErr w:type="spellStart"/>
      <w:r w:rsidRPr="00E032D0">
        <w:t>В.В.Солодов</w:t>
      </w:r>
      <w:proofErr w:type="spellEnd"/>
      <w:r w:rsidRPr="00E032D0">
        <w:t>):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1</w:t>
      </w:r>
      <w:r>
        <w:t>)</w:t>
      </w:r>
      <w:r w:rsidR="00603032">
        <w:t xml:space="preserve"> </w:t>
      </w:r>
      <w:r w:rsidR="008A4C77">
        <w:t>учитывать</w:t>
      </w:r>
      <w:r w:rsidR="008A4C77" w:rsidRPr="00E032D0">
        <w:t xml:space="preserve"> </w:t>
      </w:r>
      <w:r w:rsidR="008A4C77">
        <w:t>предложения и замечания</w:t>
      </w:r>
      <w:r w:rsidR="008A4C77" w:rsidRPr="00E032D0">
        <w:t xml:space="preserve"> Счетной палат</w:t>
      </w:r>
      <w:r w:rsidR="008A4C77">
        <w:t>ы</w:t>
      </w:r>
      <w:r w:rsidR="008A4C77" w:rsidRPr="00E032D0">
        <w:t xml:space="preserve"> Республики Саха (Якутия)</w:t>
      </w:r>
      <w:r w:rsidR="008A4C77">
        <w:t xml:space="preserve"> </w:t>
      </w:r>
      <w:r w:rsidRPr="00E032D0">
        <w:t>по повышению качества планирования</w:t>
      </w:r>
      <w:r w:rsidR="00B83955">
        <w:t xml:space="preserve"> при разработке проектов</w:t>
      </w:r>
      <w:r w:rsidRPr="00E032D0">
        <w:t xml:space="preserve"> государственных программ </w:t>
      </w:r>
      <w:r w:rsidRPr="00E032D0">
        <w:rPr>
          <w:iCs/>
        </w:rPr>
        <w:t>Республики Саха (Якутия)</w:t>
      </w:r>
      <w:r w:rsidR="008A4C77">
        <w:rPr>
          <w:iCs/>
        </w:rPr>
        <w:t xml:space="preserve"> </w:t>
      </w:r>
      <w:r w:rsidRPr="00E032D0">
        <w:t xml:space="preserve">в части </w:t>
      </w:r>
      <w:r w:rsidR="00926BA3">
        <w:t xml:space="preserve">соответствия </w:t>
      </w:r>
      <w:r w:rsidRPr="00E032D0">
        <w:rPr>
          <w:iCs/>
        </w:rPr>
        <w:t xml:space="preserve">целевых показателей (индикаторов) </w:t>
      </w:r>
      <w:r w:rsidR="008A4C77">
        <w:rPr>
          <w:iCs/>
        </w:rPr>
        <w:t>указанных</w:t>
      </w:r>
      <w:r w:rsidR="008A4C77" w:rsidRPr="00E032D0">
        <w:rPr>
          <w:iCs/>
        </w:rPr>
        <w:t xml:space="preserve"> государственных программ</w:t>
      </w:r>
      <w:r w:rsidR="008A4C77" w:rsidRPr="00E032D0">
        <w:t xml:space="preserve"> и</w:t>
      </w:r>
      <w:r w:rsidR="008A4C77">
        <w:t xml:space="preserve"> их</w:t>
      </w:r>
      <w:r w:rsidR="008A4C77" w:rsidRPr="00E032D0">
        <w:t xml:space="preserve"> ресурсного обеспечения </w:t>
      </w:r>
      <w:r w:rsidRPr="00E032D0">
        <w:t>национальны</w:t>
      </w:r>
      <w:r w:rsidR="00926BA3">
        <w:t>м</w:t>
      </w:r>
      <w:r w:rsidRPr="00E032D0">
        <w:t xml:space="preserve"> цел</w:t>
      </w:r>
      <w:r w:rsidR="00926BA3">
        <w:t>ям</w:t>
      </w:r>
      <w:r w:rsidRPr="00E032D0">
        <w:t xml:space="preserve"> </w:t>
      </w:r>
      <w:r w:rsidR="00B83955" w:rsidRPr="00E032D0">
        <w:t>и стратегически</w:t>
      </w:r>
      <w:r w:rsidR="00926BA3">
        <w:t>м</w:t>
      </w:r>
      <w:r w:rsidR="00B83955" w:rsidRPr="00E032D0">
        <w:t xml:space="preserve"> задач</w:t>
      </w:r>
      <w:r w:rsidR="00926BA3">
        <w:t>ам</w:t>
      </w:r>
      <w:r w:rsidR="00B83955" w:rsidRPr="00E032D0">
        <w:t xml:space="preserve"> </w:t>
      </w:r>
      <w:r w:rsidRPr="00E032D0">
        <w:t xml:space="preserve">развития Российской Федерации на период до 2024 года; 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2</w:t>
      </w:r>
      <w:r>
        <w:t>)</w:t>
      </w:r>
      <w:r w:rsidRPr="00E032D0">
        <w:t xml:space="preserve"> усилить контроль за</w:t>
      </w:r>
      <w:r w:rsidR="00926BA3">
        <w:t xml:space="preserve"> исполнением </w:t>
      </w:r>
      <w:r w:rsidR="00926BA3" w:rsidRPr="00804845">
        <w:t xml:space="preserve">представлений Счетной палаты Республики Саха (Якутия) о принятии мер по устранению нарушений и недостатков, выявленных в ходе </w:t>
      </w:r>
      <w:r w:rsidR="002E739F">
        <w:t>контрольных</w:t>
      </w:r>
      <w:r w:rsidR="00926BA3" w:rsidRPr="00804845">
        <w:t xml:space="preserve"> мероприятий, </w:t>
      </w:r>
      <w:r w:rsidRPr="00E032D0">
        <w:t>в том числе по совершенствованию норма</w:t>
      </w:r>
      <w:r w:rsidR="00926BA3">
        <w:t xml:space="preserve">тивной правовой базы </w:t>
      </w:r>
      <w:r w:rsidR="00C80F79">
        <w:t>Р</w:t>
      </w:r>
      <w:r w:rsidR="00926BA3">
        <w:t>еспублики</w:t>
      </w:r>
      <w:r w:rsidR="00C80F79">
        <w:t xml:space="preserve"> Саха (Якутия)</w:t>
      </w:r>
      <w:r w:rsidR="00764A5F">
        <w:t xml:space="preserve"> </w:t>
      </w:r>
      <w:bookmarkStart w:id="0" w:name="_GoBack"/>
      <w:bookmarkEnd w:id="0"/>
      <w:r w:rsidRPr="00E032D0">
        <w:t>;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3</w:t>
      </w:r>
      <w:r>
        <w:t>)</w:t>
      </w:r>
      <w:r w:rsidRPr="00E032D0">
        <w:t xml:space="preserve"> усилить контроль за соблюдением главными распорядителями бюджетных средств порядков и условий предоставления (расходования) межбюджетных трансфертов, предоставляемых из государственного б</w:t>
      </w:r>
      <w:r w:rsidR="006167EA">
        <w:t>юджета Республики Саха (Якутия).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5. Рекомендовать главам муниципальных образований Республики Саха (Якутия):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1</w:t>
      </w:r>
      <w:r>
        <w:t>)</w:t>
      </w:r>
      <w:r w:rsidRPr="00E032D0">
        <w:t xml:space="preserve"> обеспечить соблюдение порядков и условий предоставления (расходования) межбюджетных трансфертов из государственного бюджета Республики Саха (Якутия), </w:t>
      </w:r>
      <w:r w:rsidR="00BB2628">
        <w:t xml:space="preserve">                  </w:t>
      </w:r>
      <w:r w:rsidRPr="00E032D0">
        <w:t>в том числе</w:t>
      </w:r>
      <w:r w:rsidR="00926BA3">
        <w:t xml:space="preserve"> в части</w:t>
      </w:r>
      <w:r w:rsidRPr="00E032D0">
        <w:t xml:space="preserve"> законност</w:t>
      </w:r>
      <w:r w:rsidR="00926BA3">
        <w:t>и</w:t>
      </w:r>
      <w:r w:rsidRPr="00E032D0">
        <w:t xml:space="preserve"> и результативност</w:t>
      </w:r>
      <w:r w:rsidR="00926BA3">
        <w:t>и</w:t>
      </w:r>
      <w:r w:rsidRPr="00E032D0">
        <w:t xml:space="preserve"> их использования;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>2</w:t>
      </w:r>
      <w:r>
        <w:t>)</w:t>
      </w:r>
      <w:r w:rsidRPr="00E032D0">
        <w:t xml:space="preserve"> повысить качество внутреннего финансового контроля муниципальных образований при использовании бюджетных средств.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bookmarkStart w:id="1" w:name="sub_7"/>
      <w:r w:rsidRPr="00E032D0">
        <w:lastRenderedPageBreak/>
        <w:t>6. Направить настоящее постановление в Правительство Республики Саха (Якутия), Счетную палату Республики Саха (Якутия), главам муниципальных образований Республики Саха (Якутия).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bookmarkStart w:id="2" w:name="sub_8"/>
      <w:bookmarkEnd w:id="1"/>
      <w:r w:rsidRPr="00E032D0">
        <w:t xml:space="preserve">7. Контроль за исполнением настоящего постановления возложить на постоянный комитет Государственного Собрания (Ил </w:t>
      </w:r>
      <w:proofErr w:type="spellStart"/>
      <w:r w:rsidRPr="00E032D0">
        <w:t>Тумэн</w:t>
      </w:r>
      <w:proofErr w:type="spellEnd"/>
      <w:r w:rsidRPr="00E032D0">
        <w:t>) Республики Саха (Якутия) по бюджету, финансам, налоговой и ценовой политике, вопросам собственности и приватизации.</w:t>
      </w:r>
    </w:p>
    <w:p w:rsidR="00E032D0" w:rsidRPr="00E032D0" w:rsidRDefault="00E032D0" w:rsidP="00E032D0">
      <w:pPr>
        <w:spacing w:line="360" w:lineRule="auto"/>
        <w:ind w:firstLine="709"/>
        <w:jc w:val="both"/>
      </w:pPr>
      <w:bookmarkStart w:id="3" w:name="sub_9"/>
      <w:bookmarkEnd w:id="2"/>
      <w:r w:rsidRPr="00E032D0">
        <w:t xml:space="preserve">8. Опубликовать настоящее постановление в республиканских газетах «Якутия», «Саха </w:t>
      </w:r>
      <w:proofErr w:type="spellStart"/>
      <w:r w:rsidR="006167EA">
        <w:t>с</w:t>
      </w:r>
      <w:r w:rsidRPr="00E032D0">
        <w:t>ирэ</w:t>
      </w:r>
      <w:proofErr w:type="spellEnd"/>
      <w:r w:rsidRPr="00E032D0">
        <w:t xml:space="preserve">» и «Ил </w:t>
      </w:r>
      <w:proofErr w:type="spellStart"/>
      <w:r w:rsidRPr="00E032D0">
        <w:t>Тумэн</w:t>
      </w:r>
      <w:proofErr w:type="spellEnd"/>
      <w:r w:rsidRPr="00E032D0">
        <w:t>».</w:t>
      </w:r>
    </w:p>
    <w:bookmarkEnd w:id="3"/>
    <w:p w:rsidR="00E032D0" w:rsidRPr="00E032D0" w:rsidRDefault="00E032D0" w:rsidP="00E032D0">
      <w:pPr>
        <w:spacing w:line="360" w:lineRule="auto"/>
        <w:ind w:firstLine="709"/>
        <w:jc w:val="both"/>
      </w:pPr>
      <w:r w:rsidRPr="00E032D0">
        <w:t xml:space="preserve">9. Настоящее постановление вступает в силу с момента его принятия. </w:t>
      </w:r>
    </w:p>
    <w:p w:rsidR="00074049" w:rsidRDefault="00074049" w:rsidP="00E032D0">
      <w:pPr>
        <w:spacing w:line="360" w:lineRule="auto"/>
        <w:ind w:firstLine="709"/>
        <w:jc w:val="both"/>
      </w:pPr>
    </w:p>
    <w:p w:rsidR="00E032D0" w:rsidRDefault="00E032D0" w:rsidP="00E032D0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49224D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 ГС № </w:t>
      </w:r>
      <w:r w:rsidR="003B3E59">
        <w:rPr>
          <w:i/>
        </w:rPr>
        <w:t>153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E032D0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BBE" w:rsidRDefault="00380BBE" w:rsidP="00E032D0">
      <w:r>
        <w:separator/>
      </w:r>
    </w:p>
  </w:endnote>
  <w:endnote w:type="continuationSeparator" w:id="0">
    <w:p w:rsidR="00380BBE" w:rsidRDefault="00380BBE" w:rsidP="00E0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BBE" w:rsidRDefault="00380BBE" w:rsidP="00E032D0">
      <w:r>
        <w:separator/>
      </w:r>
    </w:p>
  </w:footnote>
  <w:footnote w:type="continuationSeparator" w:id="0">
    <w:p w:rsidR="00380BBE" w:rsidRDefault="00380BBE" w:rsidP="00E03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2D0" w:rsidRDefault="00E032D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64A5F">
      <w:rPr>
        <w:noProof/>
      </w:rPr>
      <w:t>2</w:t>
    </w:r>
    <w:r>
      <w:fldChar w:fldCharType="end"/>
    </w:r>
  </w:p>
  <w:p w:rsidR="00E032D0" w:rsidRDefault="00E032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D132E"/>
    <w:multiLevelType w:val="multilevel"/>
    <w:tmpl w:val="E65882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D0"/>
    <w:rsid w:val="0003475D"/>
    <w:rsid w:val="00067523"/>
    <w:rsid w:val="00074049"/>
    <w:rsid w:val="001369BA"/>
    <w:rsid w:val="00160F3A"/>
    <w:rsid w:val="001D385E"/>
    <w:rsid w:val="001D73C2"/>
    <w:rsid w:val="0026222D"/>
    <w:rsid w:val="002E739F"/>
    <w:rsid w:val="00380BBE"/>
    <w:rsid w:val="003B2ED9"/>
    <w:rsid w:val="003B3E59"/>
    <w:rsid w:val="0049224D"/>
    <w:rsid w:val="004C7741"/>
    <w:rsid w:val="004C7798"/>
    <w:rsid w:val="005329A0"/>
    <w:rsid w:val="005A1EBF"/>
    <w:rsid w:val="00603032"/>
    <w:rsid w:val="006167EA"/>
    <w:rsid w:val="00637FFD"/>
    <w:rsid w:val="00644BA1"/>
    <w:rsid w:val="006B48F0"/>
    <w:rsid w:val="0070788D"/>
    <w:rsid w:val="00764A5F"/>
    <w:rsid w:val="007B68F8"/>
    <w:rsid w:val="00804845"/>
    <w:rsid w:val="008209F0"/>
    <w:rsid w:val="00861DE0"/>
    <w:rsid w:val="00874307"/>
    <w:rsid w:val="008A4C77"/>
    <w:rsid w:val="00926BA3"/>
    <w:rsid w:val="00A237B1"/>
    <w:rsid w:val="00A40948"/>
    <w:rsid w:val="00A80E88"/>
    <w:rsid w:val="00B83955"/>
    <w:rsid w:val="00BA4851"/>
    <w:rsid w:val="00BB2628"/>
    <w:rsid w:val="00C53432"/>
    <w:rsid w:val="00C80F79"/>
    <w:rsid w:val="00D702C8"/>
    <w:rsid w:val="00DE54D3"/>
    <w:rsid w:val="00E032D0"/>
    <w:rsid w:val="00E2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List Paragraph"/>
    <w:basedOn w:val="a"/>
    <w:uiPriority w:val="34"/>
    <w:qFormat/>
    <w:rsid w:val="00E032D0"/>
    <w:pPr>
      <w:ind w:left="708"/>
    </w:pPr>
  </w:style>
  <w:style w:type="character" w:styleId="a6">
    <w:name w:val="Hyperlink"/>
    <w:rsid w:val="00E032D0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E032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32D0"/>
    <w:rPr>
      <w:sz w:val="24"/>
      <w:szCs w:val="24"/>
    </w:rPr>
  </w:style>
  <w:style w:type="paragraph" w:styleId="a9">
    <w:name w:val="footer"/>
    <w:basedOn w:val="a"/>
    <w:link w:val="aa"/>
    <w:rsid w:val="00E032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32D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List Paragraph"/>
    <w:basedOn w:val="a"/>
    <w:uiPriority w:val="34"/>
    <w:qFormat/>
    <w:rsid w:val="00E032D0"/>
    <w:pPr>
      <w:ind w:left="708"/>
    </w:pPr>
  </w:style>
  <w:style w:type="character" w:styleId="a6">
    <w:name w:val="Hyperlink"/>
    <w:rsid w:val="00E032D0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E032D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032D0"/>
    <w:rPr>
      <w:sz w:val="24"/>
      <w:szCs w:val="24"/>
    </w:rPr>
  </w:style>
  <w:style w:type="paragraph" w:styleId="a9">
    <w:name w:val="footer"/>
    <w:basedOn w:val="a"/>
    <w:link w:val="aa"/>
    <w:rsid w:val="00E032D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E032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8EE136D4B0C98E45DF5C0F34EB36C90314CF1F0286CF23DF8C061C59A4E09D00CAA2FCF15BE98D3D9F9C7215CAD50EABB444B3764E637CBF8C496B4eC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3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пост-ГС</Template>
  <TotalTime>38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7</cp:revision>
  <cp:lastPrinted>2019-04-30T08:38:00Z</cp:lastPrinted>
  <dcterms:created xsi:type="dcterms:W3CDTF">2019-04-29T02:06:00Z</dcterms:created>
  <dcterms:modified xsi:type="dcterms:W3CDTF">2019-04-30T08:57:00Z</dcterms:modified>
</cp:coreProperties>
</file>